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黑体" w:eastAsia="黑体"/>
          <w:b/>
          <w:bCs/>
          <w:sz w:val="36"/>
          <w:szCs w:val="36"/>
        </w:rPr>
      </w:pPr>
      <w:r>
        <w:rPr>
          <w:rFonts w:hint="eastAsia" w:ascii="黑体" w:eastAsia="黑体"/>
          <w:b/>
          <w:bCs/>
          <w:sz w:val="36"/>
          <w:szCs w:val="36"/>
          <w:lang w:val="en-US" w:eastAsia="zh-CN"/>
        </w:rPr>
        <w:t>编  制</w:t>
      </w:r>
      <w:r>
        <w:rPr>
          <w:rFonts w:hint="eastAsia" w:ascii="黑体" w:eastAsia="黑体"/>
          <w:b/>
          <w:bCs/>
          <w:sz w:val="36"/>
          <w:szCs w:val="36"/>
        </w:rPr>
        <w:t xml:space="preserve">  说  明</w:t>
      </w:r>
    </w:p>
    <w:p>
      <w:pPr>
        <w:jc w:val="left"/>
        <w:rPr>
          <w:rFonts w:hint="eastAsia"/>
          <w:sz w:val="24"/>
        </w:rPr>
      </w:pPr>
      <w:r>
        <w:rPr>
          <w:rFonts w:hint="eastAsia"/>
          <w:sz w:val="24"/>
        </w:rPr>
        <w:t>工程名称：山东第一医科大学（山东省医学科学院）</w:t>
      </w:r>
    </w:p>
    <w:p>
      <w:pPr>
        <w:ind w:firstLine="1200" w:firstLineChars="500"/>
        <w:jc w:val="left"/>
        <w:rPr>
          <w:sz w:val="24"/>
        </w:rPr>
      </w:pPr>
      <w:r>
        <w:rPr>
          <w:rFonts w:hint="eastAsia"/>
          <w:sz w:val="24"/>
        </w:rPr>
        <w:t xml:space="preserve">科教融合新发传染病重点实验室建设工程        </w:t>
      </w:r>
    </w:p>
    <w:tbl>
      <w:tblPr>
        <w:tblStyle w:val="20"/>
        <w:tblW w:w="0" w:type="auto"/>
        <w:tblInd w:w="-43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36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594" w:hRule="atLeast"/>
        </w:trPr>
        <w:tc>
          <w:tcPr>
            <w:tcW w:w="9360" w:type="dxa"/>
          </w:tcPr>
          <w:p>
            <w:pPr>
              <w:pStyle w:val="11"/>
              <w:spacing w:line="360" w:lineRule="auto"/>
              <w:ind w:firstLine="386" w:firstLineChars="161"/>
              <w:rPr>
                <w:rFonts w:hAnsi="宋体"/>
                <w:highlight w:val="none"/>
              </w:rPr>
            </w:pPr>
            <w:r>
              <w:rPr>
                <w:rFonts w:hint="eastAsia" w:hAnsi="宋体"/>
                <w:highlight w:val="none"/>
              </w:rPr>
              <w:t>一、工程概况</w:t>
            </w:r>
          </w:p>
          <w:p>
            <w:pPr>
              <w:pStyle w:val="11"/>
              <w:spacing w:line="360" w:lineRule="auto"/>
              <w:ind w:firstLine="386" w:firstLineChars="161"/>
              <w:rPr>
                <w:rFonts w:hAnsi="宋体"/>
                <w:highlight w:val="none"/>
              </w:rPr>
            </w:pPr>
            <w:r>
              <w:rPr>
                <w:rFonts w:hint="eastAsia"/>
                <w:sz w:val="24"/>
                <w:highlight w:val="none"/>
              </w:rPr>
              <w:t>山东第一医科大学（山东省医学科学院）科教融合新发传染病重点实验室建设工程</w:t>
            </w:r>
            <w:r>
              <w:rPr>
                <w:rFonts w:hint="eastAsia" w:hAnsi="宋体"/>
                <w:highlight w:val="none"/>
              </w:rPr>
              <w:t>二、工程量清单编制范围：</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sz w:val="24"/>
                <w:highlight w:val="none"/>
              </w:rPr>
            </w:pPr>
            <w:r>
              <w:rPr>
                <w:rFonts w:hint="eastAsia" w:ascii="宋体" w:hAnsi="宋体" w:eastAsia="宋体" w:cs="宋体"/>
                <w:kern w:val="2"/>
                <w:sz w:val="24"/>
                <w:szCs w:val="24"/>
                <w:highlight w:val="none"/>
                <w:lang w:val="en-US" w:eastAsia="zh-CN" w:bidi="ar-SA"/>
              </w:rPr>
              <w:t>本次招标的</w:t>
            </w:r>
            <w:r>
              <w:rPr>
                <w:rFonts w:hint="eastAsia" w:ascii="宋体" w:hAnsi="宋体" w:eastAsia="宋体" w:cs="宋体"/>
                <w:kern w:val="2"/>
                <w:sz w:val="24"/>
                <w:szCs w:val="24"/>
                <w:highlight w:val="none"/>
                <w:u w:val="single"/>
                <w:lang w:val="en-US" w:eastAsia="zh-CN" w:bidi="ar-SA"/>
              </w:rPr>
              <w:t>山东第一医科大学（山东省医学科学院）科教融合新发传染病重点实验室建设工程</w:t>
            </w:r>
            <w:r>
              <w:rPr>
                <w:rFonts w:hint="eastAsia" w:ascii="宋体" w:hAnsi="宋体" w:eastAsia="宋体" w:cs="宋体"/>
                <w:kern w:val="2"/>
                <w:sz w:val="24"/>
                <w:szCs w:val="24"/>
                <w:highlight w:val="none"/>
                <w:lang w:val="en-US" w:eastAsia="zh-CN" w:bidi="ar-SA"/>
              </w:rPr>
              <w:t>为图纸及建设单位要求范围内的</w:t>
            </w:r>
            <w:r>
              <w:rPr>
                <w:rFonts w:hint="eastAsia" w:ascii="宋体" w:hAnsi="宋体" w:cs="宋体"/>
                <w:kern w:val="2"/>
                <w:sz w:val="24"/>
                <w:szCs w:val="24"/>
                <w:highlight w:val="none"/>
                <w:lang w:val="en-US" w:eastAsia="zh-CN" w:bidi="ar-SA"/>
              </w:rPr>
              <w:t>实验室</w:t>
            </w:r>
            <w:r>
              <w:rPr>
                <w:rFonts w:hint="eastAsia" w:ascii="宋体" w:hAnsi="宋体" w:eastAsia="宋体" w:cs="宋体"/>
                <w:kern w:val="2"/>
                <w:sz w:val="24"/>
                <w:szCs w:val="24"/>
                <w:highlight w:val="none"/>
                <w:lang w:val="en-US" w:eastAsia="zh-CN" w:bidi="ar-SA"/>
              </w:rPr>
              <w:t>改造；安装工程具体改造内容包含：强电系统、弱电系统、智能化系统、给排水系统、空调通风系统。需投标人自行采购的材料、设备性能参数需按建设单位要求和招标清单要求采购。具体详见工程量清单</w:t>
            </w:r>
            <w:r>
              <w:rPr>
                <w:rFonts w:hint="eastAsia" w:ascii="宋体" w:hAnsi="宋体"/>
                <w:sz w:val="24"/>
                <w:highlight w:val="none"/>
              </w:rPr>
              <w:t>。</w:t>
            </w:r>
          </w:p>
          <w:p>
            <w:pPr>
              <w:pStyle w:val="11"/>
              <w:spacing w:line="360" w:lineRule="auto"/>
              <w:ind w:firstLine="386" w:firstLineChars="161"/>
              <w:rPr>
                <w:rFonts w:hAnsi="宋体"/>
                <w:highlight w:val="none"/>
              </w:rPr>
            </w:pPr>
            <w:r>
              <w:rPr>
                <w:rFonts w:hint="eastAsia" w:hAnsi="宋体"/>
                <w:highlight w:val="none"/>
              </w:rPr>
              <w:t>三、工程量清单编制依据</w:t>
            </w:r>
          </w:p>
          <w:p>
            <w:pPr>
              <w:widowControl/>
              <w:numPr>
                <w:ilvl w:val="0"/>
                <w:numId w:val="1"/>
              </w:numPr>
              <w:shd w:val="clear" w:color="auto" w:fill="FFFFFF"/>
              <w:spacing w:line="360" w:lineRule="auto"/>
              <w:ind w:left="0" w:leftChars="0" w:firstLine="420" w:firstLineChars="0"/>
              <w:rPr>
                <w:rFonts w:ascii="宋体" w:hAnsi="宋体"/>
                <w:sz w:val="24"/>
                <w:highlight w:val="none"/>
              </w:rPr>
            </w:pPr>
            <w:r>
              <w:rPr>
                <w:rFonts w:hint="eastAsia" w:ascii="宋体" w:hAnsi="宋体"/>
                <w:sz w:val="24"/>
                <w:highlight w:val="none"/>
              </w:rPr>
              <w:t xml:space="preserve">《建设工程工程量清单计价规范》2013版、相应项目设置及计算规则。2016版《山东省建筑工程消耗量定额》、2016版《山东省安装工程消耗量定额》、2020版《山东省房屋修缮消耗量定额》、2022版费用项目组成及计算规则及相应计算规则、费用定额。  </w:t>
            </w:r>
          </w:p>
          <w:p>
            <w:pPr>
              <w:widowControl/>
              <w:numPr>
                <w:ilvl w:val="0"/>
                <w:numId w:val="1"/>
              </w:numPr>
              <w:shd w:val="clear" w:color="auto" w:fill="FFFFFF"/>
              <w:spacing w:line="360" w:lineRule="auto"/>
              <w:ind w:left="0" w:leftChars="0" w:firstLine="420" w:firstLineChars="0"/>
              <w:rPr>
                <w:rFonts w:ascii="宋体" w:hAnsi="宋体"/>
                <w:sz w:val="24"/>
                <w:highlight w:val="none"/>
              </w:rPr>
            </w:pPr>
            <w:r>
              <w:rPr>
                <w:rFonts w:hint="eastAsia" w:ascii="宋体" w:hAnsi="宋体"/>
                <w:sz w:val="24"/>
                <w:highlight w:val="none"/>
              </w:rPr>
              <w:t>材料价格依据</w:t>
            </w:r>
            <w:r>
              <w:rPr>
                <w:rFonts w:hint="eastAsia" w:ascii="宋体" w:hAnsi="宋体"/>
                <w:sz w:val="24"/>
                <w:highlight w:val="none"/>
                <w:u w:val="single"/>
                <w:lang w:val="en-US" w:eastAsia="zh-CN"/>
              </w:rPr>
              <w:t>济南市</w:t>
            </w:r>
            <w:r>
              <w:rPr>
                <w:rFonts w:hint="eastAsia" w:ascii="宋体" w:hAnsi="宋体"/>
                <w:sz w:val="24"/>
                <w:highlight w:val="none"/>
              </w:rPr>
              <w:t>现行市场及</w:t>
            </w:r>
            <w:r>
              <w:rPr>
                <w:rFonts w:hint="eastAsia" w:ascii="宋体" w:hAnsi="宋体"/>
                <w:sz w:val="24"/>
                <w:highlight w:val="none"/>
                <w:u w:val="single"/>
                <w:lang w:val="en-US" w:eastAsia="zh-CN"/>
              </w:rPr>
              <w:t>济南市</w:t>
            </w:r>
            <w:r>
              <w:rPr>
                <w:rFonts w:hint="eastAsia" w:ascii="宋体" w:hAnsi="宋体"/>
                <w:sz w:val="24"/>
                <w:highlight w:val="none"/>
                <w:u w:val="single"/>
              </w:rPr>
              <w:t>2023年</w:t>
            </w:r>
            <w:r>
              <w:rPr>
                <w:rFonts w:hint="eastAsia" w:ascii="宋体" w:hAnsi="宋体"/>
                <w:sz w:val="24"/>
                <w:highlight w:val="none"/>
                <w:u w:val="single"/>
                <w:lang w:val="en-US" w:eastAsia="zh-CN"/>
              </w:rPr>
              <w:t>10月上</w:t>
            </w:r>
            <w:r>
              <w:rPr>
                <w:rFonts w:hint="eastAsia" w:ascii="宋体" w:hAnsi="宋体"/>
                <w:sz w:val="24"/>
                <w:highlight w:val="none"/>
              </w:rPr>
              <w:t>《工程造价信息》等，此价格包括运杂费、采购保管费、风险因素等费用。</w:t>
            </w:r>
          </w:p>
          <w:p>
            <w:pPr>
              <w:widowControl/>
              <w:numPr>
                <w:ilvl w:val="0"/>
                <w:numId w:val="1"/>
              </w:numPr>
              <w:shd w:val="clear" w:color="auto" w:fill="FFFFFF"/>
              <w:spacing w:line="360" w:lineRule="auto"/>
              <w:ind w:left="0" w:leftChars="0" w:firstLine="420" w:firstLineChars="0"/>
              <w:rPr>
                <w:rFonts w:ascii="宋体" w:hAnsi="宋体"/>
                <w:sz w:val="24"/>
                <w:highlight w:val="none"/>
              </w:rPr>
            </w:pPr>
            <w:r>
              <w:rPr>
                <w:rFonts w:hint="eastAsia" w:hAnsi="宋体" w:cs="宋体"/>
                <w:kern w:val="2"/>
                <w:sz w:val="24"/>
                <w:szCs w:val="24"/>
                <w:highlight w:val="none"/>
                <w:lang w:val="en-US" w:eastAsia="zh-CN" w:bidi="ar-SA"/>
              </w:rPr>
              <w:t>国科智测（山东）工程有限公司</w:t>
            </w:r>
            <w:r>
              <w:rPr>
                <w:rFonts w:hint="eastAsia" w:ascii="宋体" w:hAnsi="宋体" w:eastAsia="宋体" w:cs="宋体"/>
                <w:kern w:val="2"/>
                <w:sz w:val="24"/>
                <w:szCs w:val="24"/>
                <w:highlight w:val="none"/>
                <w:lang w:val="en-US" w:eastAsia="zh-CN" w:bidi="ar-SA"/>
              </w:rPr>
              <w:t>设计之图纸</w:t>
            </w:r>
            <w:r>
              <w:rPr>
                <w:rFonts w:hint="eastAsia" w:hAnsi="宋体" w:cs="宋体"/>
                <w:kern w:val="2"/>
                <w:sz w:val="24"/>
                <w:szCs w:val="24"/>
                <w:highlight w:val="none"/>
                <w:lang w:val="en-US" w:eastAsia="zh-CN" w:bidi="ar-SA"/>
              </w:rPr>
              <w:t>及相关资料</w:t>
            </w:r>
            <w:r>
              <w:rPr>
                <w:rFonts w:hint="eastAsia" w:ascii="宋体" w:hAnsi="宋体"/>
                <w:sz w:val="24"/>
                <w:highlight w:val="none"/>
              </w:rPr>
              <w:t>。</w:t>
            </w:r>
          </w:p>
          <w:p>
            <w:pPr>
              <w:widowControl/>
              <w:numPr>
                <w:ilvl w:val="0"/>
                <w:numId w:val="1"/>
              </w:numPr>
              <w:shd w:val="clear" w:color="auto" w:fill="FFFFFF"/>
              <w:spacing w:line="360" w:lineRule="auto"/>
              <w:ind w:left="0" w:leftChars="0" w:firstLine="420" w:firstLineChars="0"/>
              <w:rPr>
                <w:rFonts w:ascii="宋体" w:hAnsi="宋体"/>
                <w:sz w:val="24"/>
                <w:highlight w:val="none"/>
              </w:rPr>
            </w:pPr>
            <w:r>
              <w:rPr>
                <w:rFonts w:hint="eastAsia" w:ascii="宋体" w:hAnsi="宋体"/>
                <w:sz w:val="24"/>
                <w:highlight w:val="none"/>
              </w:rPr>
              <w:t>建设单位提供的施工现场情况、工程特点、相关改造意见。</w:t>
            </w:r>
          </w:p>
          <w:p>
            <w:pPr>
              <w:widowControl/>
              <w:numPr>
                <w:ilvl w:val="0"/>
                <w:numId w:val="1"/>
              </w:numPr>
              <w:shd w:val="clear" w:color="auto" w:fill="FFFFFF"/>
              <w:spacing w:line="360" w:lineRule="auto"/>
              <w:ind w:left="0" w:leftChars="0" w:firstLine="420" w:firstLineChars="0"/>
              <w:rPr>
                <w:rFonts w:hint="eastAsia" w:ascii="宋体" w:hAnsi="宋体" w:eastAsia="宋体"/>
                <w:sz w:val="24"/>
                <w:highlight w:val="none"/>
                <w:lang w:eastAsia="zh-CN"/>
              </w:rPr>
            </w:pPr>
            <w:r>
              <w:rPr>
                <w:rFonts w:hint="eastAsia" w:ascii="宋体" w:hAnsi="宋体"/>
                <w:sz w:val="24"/>
                <w:highlight w:val="none"/>
              </w:rPr>
              <w:t>规费及相关费用执行鲁建标字〔2023〕2号</w:t>
            </w:r>
            <w:r>
              <w:rPr>
                <w:rFonts w:hint="eastAsia" w:ascii="宋体" w:hAnsi="宋体"/>
                <w:sz w:val="24"/>
                <w:highlight w:val="none"/>
                <w:lang w:eastAsia="zh-CN"/>
              </w:rPr>
              <w:t>《</w:t>
            </w:r>
            <w:r>
              <w:rPr>
                <w:rFonts w:hint="eastAsia" w:ascii="宋体" w:hAnsi="宋体"/>
                <w:sz w:val="24"/>
                <w:highlight w:val="none"/>
              </w:rPr>
              <w:t>山东省住房和城乡建设厅关于调整建设工程安全施工费的通知</w:t>
            </w:r>
            <w:r>
              <w:rPr>
                <w:rFonts w:hint="eastAsia" w:ascii="宋体" w:hAnsi="宋体"/>
                <w:sz w:val="24"/>
                <w:highlight w:val="none"/>
                <w:lang w:eastAsia="zh-CN"/>
              </w:rPr>
              <w:t>》。</w:t>
            </w:r>
          </w:p>
          <w:p>
            <w:pPr>
              <w:widowControl/>
              <w:numPr>
                <w:ilvl w:val="0"/>
                <w:numId w:val="1"/>
              </w:numPr>
              <w:shd w:val="clear" w:color="auto" w:fill="FFFFFF"/>
              <w:spacing w:line="360" w:lineRule="auto"/>
              <w:ind w:left="0" w:leftChars="0" w:firstLine="420" w:firstLineChars="0"/>
              <w:rPr>
                <w:rFonts w:ascii="宋体" w:hAnsi="宋体"/>
                <w:sz w:val="24"/>
                <w:highlight w:val="none"/>
              </w:rPr>
            </w:pPr>
            <w:r>
              <w:rPr>
                <w:rFonts w:hint="eastAsia" w:ascii="宋体" w:hAnsi="宋体"/>
                <w:sz w:val="24"/>
                <w:highlight w:val="none"/>
              </w:rPr>
              <w:t>费用计算中各项费率按工程造价管理机构现行规定计算。</w:t>
            </w:r>
          </w:p>
          <w:p>
            <w:pPr>
              <w:widowControl/>
              <w:shd w:val="clear" w:color="auto" w:fill="FFFFFF"/>
              <w:spacing w:line="360" w:lineRule="auto"/>
              <w:ind w:firstLine="180" w:firstLineChars="75"/>
              <w:rPr>
                <w:rFonts w:ascii="宋体" w:hAnsi="宋体"/>
                <w:sz w:val="24"/>
                <w:highlight w:val="none"/>
              </w:rPr>
            </w:pPr>
            <w:r>
              <w:rPr>
                <w:rFonts w:hint="eastAsia" w:ascii="宋体" w:hAnsi="宋体"/>
                <w:sz w:val="24"/>
                <w:highlight w:val="none"/>
              </w:rPr>
              <w:t xml:space="preserve">  上述文件有不一致时以最新发文优先解释。</w:t>
            </w:r>
          </w:p>
          <w:p>
            <w:pPr>
              <w:pStyle w:val="11"/>
              <w:spacing w:line="360" w:lineRule="auto"/>
              <w:ind w:firstLine="386" w:firstLineChars="161"/>
              <w:rPr>
                <w:rFonts w:hAnsi="宋体"/>
                <w:highlight w:val="none"/>
              </w:rPr>
            </w:pPr>
            <w:r>
              <w:rPr>
                <w:rFonts w:hint="eastAsia" w:hAnsi="宋体"/>
                <w:highlight w:val="none"/>
              </w:rPr>
              <w:t>四、其他有关说明：</w:t>
            </w:r>
          </w:p>
          <w:p>
            <w:pPr>
              <w:widowControl/>
              <w:spacing w:line="360" w:lineRule="auto"/>
              <w:ind w:firstLine="360" w:firstLineChars="150"/>
              <w:rPr>
                <w:rFonts w:ascii="宋体" w:hAnsi="宋体"/>
                <w:sz w:val="24"/>
                <w:highlight w:val="none"/>
              </w:rPr>
            </w:pPr>
            <w:r>
              <w:rPr>
                <w:rFonts w:hint="eastAsia" w:ascii="宋体" w:hAnsi="宋体"/>
                <w:sz w:val="24"/>
                <w:highlight w:val="none"/>
              </w:rPr>
              <w:t>(一)报价说明</w:t>
            </w:r>
          </w:p>
          <w:p>
            <w:pPr>
              <w:widowControl/>
              <w:numPr>
                <w:ilvl w:val="0"/>
                <w:numId w:val="2"/>
              </w:numPr>
              <w:shd w:val="clear" w:color="auto" w:fill="FFFFFF"/>
              <w:spacing w:line="360" w:lineRule="auto"/>
              <w:ind w:left="0" w:leftChars="0" w:firstLine="420" w:firstLineChars="0"/>
              <w:rPr>
                <w:rFonts w:ascii="宋体" w:hAnsi="宋体"/>
                <w:sz w:val="24"/>
                <w:szCs w:val="24"/>
                <w:highlight w:val="none"/>
              </w:rPr>
            </w:pPr>
            <w:r>
              <w:rPr>
                <w:rFonts w:hint="eastAsia" w:ascii="宋体" w:hAnsi="宋体"/>
                <w:sz w:val="24"/>
                <w:szCs w:val="24"/>
                <w:highlight w:val="none"/>
              </w:rPr>
              <w:t>本工程量清单是招标文件的组成部分，一经中标且签订合同，即成为合同的组成部分。</w:t>
            </w:r>
          </w:p>
          <w:p>
            <w:pPr>
              <w:widowControl/>
              <w:numPr>
                <w:ilvl w:val="0"/>
                <w:numId w:val="2"/>
              </w:numPr>
              <w:shd w:val="clear" w:color="auto" w:fill="FFFFFF"/>
              <w:spacing w:line="360" w:lineRule="auto"/>
              <w:ind w:left="0" w:leftChars="0" w:firstLine="420" w:firstLineChars="0"/>
              <w:rPr>
                <w:rFonts w:ascii="宋体" w:hAnsi="宋体"/>
                <w:sz w:val="24"/>
                <w:szCs w:val="24"/>
                <w:highlight w:val="none"/>
              </w:rPr>
            </w:pPr>
            <w:r>
              <w:rPr>
                <w:rFonts w:hint="eastAsia" w:ascii="宋体" w:hAnsi="宋体"/>
                <w:sz w:val="24"/>
                <w:szCs w:val="24"/>
                <w:highlight w:val="none"/>
              </w:rPr>
              <w:t>除另有说明外，工程量清单内所有项目所述之材料、设备均由承包人自行采购及施工，构成工程实体使用的材料、设备必须使用新材料、新设备。</w:t>
            </w:r>
          </w:p>
          <w:p>
            <w:pPr>
              <w:widowControl/>
              <w:numPr>
                <w:ilvl w:val="0"/>
                <w:numId w:val="2"/>
              </w:numPr>
              <w:shd w:val="clear" w:color="auto" w:fill="FFFFFF"/>
              <w:spacing w:line="360" w:lineRule="auto"/>
              <w:ind w:left="0" w:leftChars="0" w:firstLine="420" w:firstLineChars="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本工程量清单的单价应为综合单价。工程量清单和清单的综合单价应与投标须知、合同条款、现行施工技术规范、建设单位要求、资料文件、投标文件、现场情况结合起来查阅、理解和计算。</w:t>
            </w:r>
          </w:p>
          <w:p>
            <w:pPr>
              <w:widowControl/>
              <w:numPr>
                <w:ilvl w:val="0"/>
                <w:numId w:val="2"/>
              </w:numPr>
              <w:shd w:val="clear" w:color="auto" w:fill="FFFFFF"/>
              <w:spacing w:line="360" w:lineRule="auto"/>
              <w:ind w:left="0" w:leftChars="0" w:firstLine="420" w:firstLineChars="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本项目编列暂列金额</w:t>
            </w:r>
            <w:r>
              <w:rPr>
                <w:rFonts w:hint="eastAsia" w:ascii="宋体" w:hAnsi="宋体" w:cs="宋体"/>
                <w:sz w:val="24"/>
                <w:szCs w:val="24"/>
                <w:highlight w:val="none"/>
                <w:lang w:val="en-US" w:eastAsia="zh-CN"/>
              </w:rPr>
              <w:t>30000.00，</w:t>
            </w:r>
            <w:r>
              <w:rPr>
                <w:rFonts w:hint="eastAsia" w:ascii="宋体" w:hAnsi="宋体" w:eastAsia="宋体" w:cs="宋体"/>
                <w:sz w:val="24"/>
                <w:szCs w:val="24"/>
                <w:highlight w:val="none"/>
              </w:rPr>
              <w:t>投标人按此金额计入总价，不再计取规费税金</w:t>
            </w:r>
            <w:r>
              <w:rPr>
                <w:rFonts w:hint="eastAsia" w:ascii="宋体" w:hAnsi="宋体" w:eastAsia="宋体" w:cs="宋体"/>
                <w:sz w:val="24"/>
                <w:szCs w:val="24"/>
                <w:highlight w:val="none"/>
                <w:lang w:eastAsia="zh-CN"/>
              </w:rPr>
              <w:t>。</w:t>
            </w:r>
          </w:p>
          <w:p>
            <w:pPr>
              <w:widowControl/>
              <w:numPr>
                <w:ilvl w:val="0"/>
                <w:numId w:val="2"/>
              </w:numPr>
              <w:shd w:val="clear" w:color="auto" w:fill="FFFFFF"/>
              <w:spacing w:line="360" w:lineRule="auto"/>
              <w:ind w:left="0" w:leftChars="0"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本项目不含优质优价费。</w:t>
            </w:r>
          </w:p>
          <w:p>
            <w:pPr>
              <w:widowControl/>
              <w:numPr>
                <w:ilvl w:val="0"/>
                <w:numId w:val="2"/>
              </w:numPr>
              <w:shd w:val="clear" w:color="auto" w:fill="FFFFFF"/>
              <w:spacing w:line="360" w:lineRule="auto"/>
              <w:ind w:left="0" w:leftChars="0" w:firstLine="420" w:firstLineChars="0"/>
              <w:rPr>
                <w:rFonts w:hint="eastAsia" w:ascii="宋体" w:hAnsi="宋体" w:eastAsia="宋体" w:cs="宋体"/>
                <w:sz w:val="24"/>
                <w:szCs w:val="24"/>
                <w:highlight w:val="none"/>
              </w:rPr>
            </w:pPr>
            <w:bookmarkStart w:id="0" w:name="_GoBack"/>
            <w:bookmarkEnd w:id="0"/>
            <w:r>
              <w:rPr>
                <w:rFonts w:hint="eastAsia" w:ascii="宋体" w:hAnsi="宋体" w:eastAsia="宋体" w:cs="宋体"/>
                <w:sz w:val="24"/>
                <w:szCs w:val="24"/>
                <w:highlight w:val="none"/>
              </w:rPr>
              <w:t>工程水电费计入各分部分项清单综合单价。</w:t>
            </w:r>
          </w:p>
          <w:p>
            <w:pPr>
              <w:widowControl/>
              <w:numPr>
                <w:ilvl w:val="0"/>
                <w:numId w:val="2"/>
              </w:numPr>
              <w:shd w:val="clear" w:color="auto" w:fill="FFFFFF"/>
              <w:spacing w:line="360" w:lineRule="auto"/>
              <w:ind w:left="0" w:leftChars="0"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工程量清单项目特征描述不全的以招标文件、设计图纸及建设单位要求为准（清单描述不详尽处包括但不限于单个节点或做法，投标报价时根据设计图纸、建设单位要求及现场情况及一般相关节点做法全部综合考虑入清单报价中）。</w:t>
            </w:r>
          </w:p>
          <w:p>
            <w:pPr>
              <w:widowControl/>
              <w:numPr>
                <w:ilvl w:val="0"/>
                <w:numId w:val="2"/>
              </w:numPr>
              <w:shd w:val="clear" w:color="auto" w:fill="FFFFFF"/>
              <w:spacing w:line="360" w:lineRule="auto"/>
              <w:ind w:left="0" w:leftChars="0"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材料描述不详尽处按照设计图纸、建设单位要求及相关技术要求。</w:t>
            </w:r>
          </w:p>
          <w:p>
            <w:pPr>
              <w:widowControl/>
              <w:numPr>
                <w:ilvl w:val="0"/>
                <w:numId w:val="2"/>
              </w:numPr>
              <w:shd w:val="clear" w:color="auto" w:fill="FFFFFF"/>
              <w:spacing w:line="360" w:lineRule="auto"/>
              <w:ind w:left="0" w:leftChars="0"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本工程施工范围内所涉及到相关试验检测费用不另行报价，应综合考虑进清单报价内。</w:t>
            </w:r>
          </w:p>
          <w:p>
            <w:pPr>
              <w:widowControl/>
              <w:numPr>
                <w:ilvl w:val="0"/>
                <w:numId w:val="2"/>
              </w:numPr>
              <w:shd w:val="clear" w:color="auto" w:fill="FFFFFF"/>
              <w:spacing w:line="360" w:lineRule="auto"/>
              <w:ind w:left="0" w:leftChars="0"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本工程属于改造项目，投标报价中应综合考虑对</w:t>
            </w:r>
            <w:r>
              <w:rPr>
                <w:rFonts w:hint="eastAsia" w:ascii="宋体" w:hAnsi="宋体" w:eastAsia="宋体" w:cs="宋体"/>
                <w:b w:val="0"/>
                <w:i w:val="0"/>
                <w:strike w:val="0"/>
                <w:spacing w:val="0"/>
                <w:sz w:val="24"/>
                <w:szCs w:val="24"/>
                <w:u w:val="none"/>
              </w:rPr>
              <w:t>原有设备、设施的保护，施工时损坏的应</w:t>
            </w:r>
            <w:r>
              <w:rPr>
                <w:rFonts w:hint="eastAsia" w:ascii="宋体" w:hAnsi="宋体" w:cs="宋体"/>
                <w:b w:val="0"/>
                <w:i w:val="0"/>
                <w:strike w:val="0"/>
                <w:spacing w:val="0"/>
                <w:sz w:val="24"/>
                <w:szCs w:val="24"/>
                <w:u w:val="none"/>
                <w:lang w:val="en-US" w:eastAsia="zh-CN"/>
              </w:rPr>
              <w:t>予以</w:t>
            </w:r>
            <w:r>
              <w:rPr>
                <w:rFonts w:hint="eastAsia" w:ascii="宋体" w:hAnsi="宋体" w:eastAsia="宋体" w:cs="宋体"/>
                <w:b w:val="0"/>
                <w:strike w:val="0"/>
                <w:spacing w:val="0"/>
                <w:sz w:val="24"/>
                <w:szCs w:val="24"/>
                <w:u w:val="none"/>
              </w:rPr>
              <w:t>无偿</w:t>
            </w:r>
            <w:r>
              <w:rPr>
                <w:rFonts w:hint="eastAsia" w:ascii="宋体" w:hAnsi="宋体" w:eastAsia="宋体" w:cs="宋体"/>
                <w:b w:val="0"/>
                <w:i w:val="0"/>
                <w:strike w:val="0"/>
                <w:spacing w:val="0"/>
                <w:sz w:val="24"/>
                <w:szCs w:val="24"/>
                <w:u w:val="none"/>
              </w:rPr>
              <w:t>修复。</w:t>
            </w:r>
          </w:p>
          <w:p>
            <w:pPr>
              <w:widowControl/>
              <w:numPr>
                <w:ilvl w:val="0"/>
                <w:numId w:val="2"/>
              </w:numPr>
              <w:shd w:val="clear" w:color="auto" w:fill="FFFFFF"/>
              <w:spacing w:line="360" w:lineRule="auto"/>
              <w:ind w:left="0" w:leftChars="0" w:firstLine="420" w:firstLineChars="0"/>
              <w:rPr>
                <w:rFonts w:hint="default" w:ascii="宋体" w:hAnsi="宋体" w:eastAsia="宋体"/>
                <w:sz w:val="24"/>
                <w:highlight w:val="none"/>
                <w:lang w:val="en-US" w:eastAsia="zh-CN"/>
              </w:rPr>
            </w:pPr>
            <w:r>
              <w:rPr>
                <w:rFonts w:hint="eastAsia" w:ascii="宋体" w:hAnsi="宋体"/>
                <w:sz w:val="24"/>
                <w:highlight w:val="none"/>
                <w:lang w:val="en-US" w:eastAsia="zh-CN"/>
              </w:rPr>
              <w:t>本工程施工脚手架等相关措施费均已包含在各专业分部分项工程综合单价中，措施项目中不再单列。</w:t>
            </w:r>
          </w:p>
          <w:p>
            <w:pPr>
              <w:widowControl/>
              <w:numPr>
                <w:ilvl w:val="0"/>
                <w:numId w:val="2"/>
              </w:numPr>
              <w:shd w:val="clear" w:color="auto" w:fill="FFFFFF"/>
              <w:spacing w:line="360" w:lineRule="auto"/>
              <w:ind w:left="0" w:leftChars="0" w:firstLine="420" w:firstLineChars="0"/>
              <w:rPr>
                <w:rFonts w:hint="default" w:ascii="宋体" w:hAnsi="宋体" w:eastAsia="宋体"/>
                <w:sz w:val="24"/>
                <w:highlight w:val="none"/>
                <w:lang w:val="en-US" w:eastAsia="zh-CN"/>
              </w:rPr>
            </w:pPr>
            <w:r>
              <w:rPr>
                <w:rFonts w:ascii="宋体" w:hAnsi="宋体" w:eastAsia="宋体" w:cs="宋体"/>
                <w:b w:val="0"/>
                <w:i w:val="0"/>
                <w:strike w:val="0"/>
                <w:spacing w:val="0"/>
                <w:sz w:val="24"/>
                <w:u w:val="none"/>
              </w:rPr>
              <w:t>电气智能化工程需</w:t>
            </w:r>
            <w:r>
              <w:rPr>
                <w:rFonts w:hint="eastAsia" w:ascii="宋体" w:hAnsi="宋体" w:cs="宋体"/>
                <w:b w:val="0"/>
                <w:i w:val="0"/>
                <w:strike w:val="0"/>
                <w:spacing w:val="0"/>
                <w:sz w:val="24"/>
                <w:u w:val="none"/>
                <w:lang w:val="en-US" w:eastAsia="zh-CN"/>
              </w:rPr>
              <w:t>综合</w:t>
            </w:r>
            <w:r>
              <w:rPr>
                <w:rFonts w:ascii="宋体" w:hAnsi="宋体" w:eastAsia="宋体" w:cs="宋体"/>
                <w:b w:val="0"/>
                <w:i w:val="0"/>
                <w:strike w:val="0"/>
                <w:spacing w:val="0"/>
                <w:sz w:val="24"/>
                <w:u w:val="none"/>
              </w:rPr>
              <w:t>考虑与原有系统的兼容与调试</w:t>
            </w:r>
            <w:r>
              <w:rPr>
                <w:rFonts w:hint="eastAsia" w:ascii="宋体" w:hAnsi="宋体" w:cs="宋体"/>
                <w:b w:val="0"/>
                <w:i w:val="0"/>
                <w:strike w:val="0"/>
                <w:spacing w:val="0"/>
                <w:sz w:val="24"/>
                <w:u w:val="none"/>
                <w:lang w:eastAsia="zh-CN"/>
              </w:rPr>
              <w:t>，</w:t>
            </w:r>
            <w:r>
              <w:rPr>
                <w:rFonts w:hint="eastAsia" w:ascii="宋体" w:hAnsi="宋体" w:cs="宋体"/>
                <w:b w:val="0"/>
                <w:i w:val="0"/>
                <w:strike w:val="0"/>
                <w:spacing w:val="0"/>
                <w:sz w:val="24"/>
                <w:u w:val="none"/>
                <w:lang w:val="en-US" w:eastAsia="zh-CN"/>
              </w:rPr>
              <w:t>相关费用已包含在综合单价中</w:t>
            </w:r>
            <w:r>
              <w:rPr>
                <w:rFonts w:ascii="宋体" w:hAnsi="宋体" w:eastAsia="宋体" w:cs="宋体"/>
                <w:b w:val="0"/>
                <w:strike w:val="0"/>
                <w:spacing w:val="0"/>
                <w:sz w:val="24"/>
                <w:u w:val="none"/>
              </w:rPr>
              <w:t>。</w:t>
            </w:r>
          </w:p>
          <w:p>
            <w:pPr>
              <w:widowControl/>
              <w:numPr>
                <w:ilvl w:val="0"/>
                <w:numId w:val="2"/>
              </w:numPr>
              <w:shd w:val="clear" w:color="auto" w:fill="FFFFFF"/>
              <w:spacing w:line="360" w:lineRule="auto"/>
              <w:ind w:left="0" w:leftChars="0" w:firstLine="420" w:firstLineChars="0"/>
              <w:rPr>
                <w:rFonts w:hint="default" w:ascii="宋体" w:hAnsi="宋体"/>
                <w:sz w:val="24"/>
                <w:highlight w:val="none"/>
                <w:lang w:val="en-US" w:eastAsia="zh-CN"/>
              </w:rPr>
            </w:pPr>
            <w:r>
              <w:rPr>
                <w:rFonts w:hint="default" w:ascii="宋体" w:hAnsi="宋体"/>
                <w:sz w:val="24"/>
                <w:highlight w:val="none"/>
                <w:lang w:val="en-US" w:eastAsia="zh-CN"/>
              </w:rPr>
              <w:t>通风空调工程系统调试</w:t>
            </w:r>
            <w:r>
              <w:rPr>
                <w:rFonts w:hint="eastAsia" w:ascii="宋体" w:hAnsi="宋体"/>
                <w:sz w:val="24"/>
                <w:highlight w:val="none"/>
                <w:lang w:val="en-US" w:eastAsia="zh-CN"/>
              </w:rPr>
              <w:t>、</w:t>
            </w:r>
            <w:r>
              <w:rPr>
                <w:rFonts w:hint="default" w:ascii="宋体" w:hAnsi="宋体"/>
                <w:sz w:val="24"/>
                <w:highlight w:val="none"/>
                <w:lang w:val="en-US" w:eastAsia="zh-CN"/>
              </w:rPr>
              <w:t>管道开洞封堵等均已包含在相应清单内</w:t>
            </w:r>
            <w:r>
              <w:rPr>
                <w:rFonts w:hint="eastAsia" w:ascii="宋体" w:hAnsi="宋体"/>
                <w:sz w:val="24"/>
                <w:highlight w:val="none"/>
                <w:lang w:val="en-US" w:eastAsia="zh-CN"/>
              </w:rPr>
              <w:t>。</w:t>
            </w:r>
          </w:p>
          <w:p>
            <w:pPr>
              <w:widowControl/>
              <w:numPr>
                <w:ilvl w:val="0"/>
                <w:numId w:val="2"/>
              </w:numPr>
              <w:shd w:val="clear" w:color="auto" w:fill="FFFFFF"/>
              <w:spacing w:line="360" w:lineRule="auto"/>
              <w:ind w:left="0" w:leftChars="0" w:firstLine="420" w:firstLineChars="0"/>
              <w:rPr>
                <w:rFonts w:hint="default" w:ascii="宋体" w:hAnsi="宋体"/>
                <w:sz w:val="24"/>
                <w:highlight w:val="none"/>
                <w:lang w:val="en-US" w:eastAsia="zh-CN"/>
              </w:rPr>
            </w:pPr>
            <w:r>
              <w:rPr>
                <w:rFonts w:hint="eastAsia" w:ascii="宋体" w:hAnsi="宋体"/>
                <w:sz w:val="24"/>
                <w:highlight w:val="none"/>
                <w:lang w:val="en-US" w:eastAsia="zh-CN"/>
              </w:rPr>
              <w:t>清单内所列硬件工程之综合单价，均包含硬件本体安装以及本体内水、电等安装工程之施工费用。</w:t>
            </w:r>
          </w:p>
          <w:p>
            <w:pPr>
              <w:pStyle w:val="11"/>
              <w:spacing w:line="360" w:lineRule="auto"/>
              <w:ind w:firstLine="480" w:firstLineChars="200"/>
              <w:rPr>
                <w:highlight w:val="none"/>
              </w:rPr>
            </w:pPr>
          </w:p>
          <w:p>
            <w:pPr>
              <w:pStyle w:val="11"/>
              <w:spacing w:line="360" w:lineRule="auto"/>
              <w:ind w:firstLine="480" w:firstLineChars="200"/>
              <w:rPr>
                <w:rFonts w:hAnsi="宋体"/>
                <w:highlight w:val="none"/>
              </w:rPr>
            </w:pPr>
            <w:r>
              <w:rPr>
                <w:rFonts w:hint="eastAsia" w:hAnsi="宋体"/>
                <w:highlight w:val="none"/>
              </w:rPr>
              <w:t xml:space="preserve">                                                                                                                                                                                </w:t>
            </w:r>
          </w:p>
          <w:p>
            <w:pPr>
              <w:pStyle w:val="11"/>
              <w:spacing w:line="360" w:lineRule="auto"/>
              <w:ind w:firstLine="386" w:firstLineChars="161"/>
              <w:rPr>
                <w:rFonts w:hAnsi="宋体"/>
                <w:highlight w:val="none"/>
              </w:rPr>
            </w:pPr>
          </w:p>
        </w:tc>
      </w:tr>
    </w:tbl>
    <w:p>
      <w:pPr>
        <w:pStyle w:val="11"/>
        <w:spacing w:line="360" w:lineRule="auto"/>
        <w:ind w:firstLine="386" w:firstLineChars="161"/>
        <w:rPr>
          <w:rFonts w:hAnsi="宋体"/>
        </w:rPr>
      </w:pPr>
    </w:p>
    <w:p>
      <w:pPr>
        <w:pStyle w:val="11"/>
        <w:spacing w:line="360" w:lineRule="auto"/>
        <w:rPr>
          <w:rFonts w:hAnsi="宋体"/>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61266"/>
    <w:multiLevelType w:val="singleLevel"/>
    <w:tmpl w:val="FEF61266"/>
    <w:lvl w:ilvl="0" w:tentative="0">
      <w:start w:val="1"/>
      <w:numFmt w:val="decimal"/>
      <w:suff w:val="nothing"/>
      <w:lvlText w:val="%1．"/>
      <w:lvlJc w:val="left"/>
      <w:pPr>
        <w:ind w:left="0" w:firstLine="400"/>
      </w:pPr>
      <w:rPr>
        <w:rFonts w:hint="default"/>
      </w:rPr>
    </w:lvl>
  </w:abstractNum>
  <w:abstractNum w:abstractNumId="1">
    <w:nsid w:val="2B47198C"/>
    <w:multiLevelType w:val="singleLevel"/>
    <w:tmpl w:val="2B47198C"/>
    <w:lvl w:ilvl="0" w:tentative="0">
      <w:start w:val="1"/>
      <w:numFmt w:val="decimal"/>
      <w:suff w:val="nothing"/>
      <w:lvlText w:val="%1．"/>
      <w:lvlJc w:val="left"/>
      <w:pPr>
        <w:ind w:left="0" w:firstLine="400"/>
      </w:pPr>
      <w:rPr>
        <w:rFonts w:hint="default" w:ascii="宋体" w:hAnsi="宋体" w:eastAsia="宋体" w:cs="宋体"/>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djMDZjNTA1OTNmN2VhMTQyMzhhM2M1YWRkMmViNWQifQ=="/>
  </w:docVars>
  <w:rsids>
    <w:rsidRoot w:val="00172A27"/>
    <w:rsid w:val="00024E00"/>
    <w:rsid w:val="00026FFD"/>
    <w:rsid w:val="00032EA1"/>
    <w:rsid w:val="00033C2C"/>
    <w:rsid w:val="00060858"/>
    <w:rsid w:val="00063053"/>
    <w:rsid w:val="00063109"/>
    <w:rsid w:val="00065F95"/>
    <w:rsid w:val="00070CBF"/>
    <w:rsid w:val="00073371"/>
    <w:rsid w:val="0007692F"/>
    <w:rsid w:val="00081D43"/>
    <w:rsid w:val="000A31C8"/>
    <w:rsid w:val="000A49BC"/>
    <w:rsid w:val="000A7241"/>
    <w:rsid w:val="000B4C9F"/>
    <w:rsid w:val="000B555C"/>
    <w:rsid w:val="000C03EA"/>
    <w:rsid w:val="000D0525"/>
    <w:rsid w:val="000D58D4"/>
    <w:rsid w:val="000E448C"/>
    <w:rsid w:val="000E7773"/>
    <w:rsid w:val="000F029F"/>
    <w:rsid w:val="000F650A"/>
    <w:rsid w:val="000F72AD"/>
    <w:rsid w:val="001008C5"/>
    <w:rsid w:val="0011373E"/>
    <w:rsid w:val="00122DE9"/>
    <w:rsid w:val="00125DE3"/>
    <w:rsid w:val="00125FD7"/>
    <w:rsid w:val="00145AD8"/>
    <w:rsid w:val="00146FFC"/>
    <w:rsid w:val="001557C6"/>
    <w:rsid w:val="00172164"/>
    <w:rsid w:val="00172A27"/>
    <w:rsid w:val="00173B7B"/>
    <w:rsid w:val="00177285"/>
    <w:rsid w:val="00191814"/>
    <w:rsid w:val="00194980"/>
    <w:rsid w:val="001A1BC7"/>
    <w:rsid w:val="001C33BD"/>
    <w:rsid w:val="001C353C"/>
    <w:rsid w:val="001C3719"/>
    <w:rsid w:val="001C7219"/>
    <w:rsid w:val="001D2814"/>
    <w:rsid w:val="001D6D56"/>
    <w:rsid w:val="001E6A84"/>
    <w:rsid w:val="001F3DF1"/>
    <w:rsid w:val="00204AB5"/>
    <w:rsid w:val="00217C92"/>
    <w:rsid w:val="00217D54"/>
    <w:rsid w:val="002249A4"/>
    <w:rsid w:val="00230262"/>
    <w:rsid w:val="00236F56"/>
    <w:rsid w:val="0024275F"/>
    <w:rsid w:val="0025483B"/>
    <w:rsid w:val="00255C69"/>
    <w:rsid w:val="00256BAF"/>
    <w:rsid w:val="00266561"/>
    <w:rsid w:val="00267743"/>
    <w:rsid w:val="002805A6"/>
    <w:rsid w:val="002828B5"/>
    <w:rsid w:val="00296D85"/>
    <w:rsid w:val="002A0490"/>
    <w:rsid w:val="002A0BB7"/>
    <w:rsid w:val="002C173A"/>
    <w:rsid w:val="002C3D4E"/>
    <w:rsid w:val="002E368A"/>
    <w:rsid w:val="002F4E2F"/>
    <w:rsid w:val="002F7459"/>
    <w:rsid w:val="00323E25"/>
    <w:rsid w:val="003604F1"/>
    <w:rsid w:val="00360E20"/>
    <w:rsid w:val="00380805"/>
    <w:rsid w:val="00390E04"/>
    <w:rsid w:val="00394B27"/>
    <w:rsid w:val="003B163F"/>
    <w:rsid w:val="003C0F47"/>
    <w:rsid w:val="003C670C"/>
    <w:rsid w:val="003C7234"/>
    <w:rsid w:val="003E6897"/>
    <w:rsid w:val="003E6955"/>
    <w:rsid w:val="003F2739"/>
    <w:rsid w:val="004164E3"/>
    <w:rsid w:val="0042238E"/>
    <w:rsid w:val="00422E7E"/>
    <w:rsid w:val="004259A1"/>
    <w:rsid w:val="00437A74"/>
    <w:rsid w:val="0044382F"/>
    <w:rsid w:val="00450319"/>
    <w:rsid w:val="00450A3E"/>
    <w:rsid w:val="00451B45"/>
    <w:rsid w:val="0045688A"/>
    <w:rsid w:val="0046411D"/>
    <w:rsid w:val="00465747"/>
    <w:rsid w:val="00465D12"/>
    <w:rsid w:val="00466C88"/>
    <w:rsid w:val="00472564"/>
    <w:rsid w:val="004A7ADA"/>
    <w:rsid w:val="004B0854"/>
    <w:rsid w:val="004B587A"/>
    <w:rsid w:val="004C2C0B"/>
    <w:rsid w:val="004C4BDE"/>
    <w:rsid w:val="004D0645"/>
    <w:rsid w:val="004D3BB6"/>
    <w:rsid w:val="004E1BD9"/>
    <w:rsid w:val="004E215B"/>
    <w:rsid w:val="004E7787"/>
    <w:rsid w:val="004F5054"/>
    <w:rsid w:val="005020EE"/>
    <w:rsid w:val="00507993"/>
    <w:rsid w:val="0051048D"/>
    <w:rsid w:val="005176DC"/>
    <w:rsid w:val="00524A48"/>
    <w:rsid w:val="00533B43"/>
    <w:rsid w:val="0054255E"/>
    <w:rsid w:val="0054356F"/>
    <w:rsid w:val="005517EC"/>
    <w:rsid w:val="00553371"/>
    <w:rsid w:val="00567EA2"/>
    <w:rsid w:val="0057016C"/>
    <w:rsid w:val="0057140C"/>
    <w:rsid w:val="00572D74"/>
    <w:rsid w:val="00575F09"/>
    <w:rsid w:val="0058717F"/>
    <w:rsid w:val="00590A72"/>
    <w:rsid w:val="00596711"/>
    <w:rsid w:val="005A2F53"/>
    <w:rsid w:val="005A74B8"/>
    <w:rsid w:val="005B0547"/>
    <w:rsid w:val="005B14F9"/>
    <w:rsid w:val="005B58F7"/>
    <w:rsid w:val="005B794C"/>
    <w:rsid w:val="005D3B1F"/>
    <w:rsid w:val="005D7A23"/>
    <w:rsid w:val="006153C8"/>
    <w:rsid w:val="006328EE"/>
    <w:rsid w:val="00632E80"/>
    <w:rsid w:val="00636DD1"/>
    <w:rsid w:val="00637E1C"/>
    <w:rsid w:val="0064350E"/>
    <w:rsid w:val="00652F69"/>
    <w:rsid w:val="0065543E"/>
    <w:rsid w:val="0065697B"/>
    <w:rsid w:val="00657A7D"/>
    <w:rsid w:val="0066662A"/>
    <w:rsid w:val="006847A2"/>
    <w:rsid w:val="0069070C"/>
    <w:rsid w:val="00691628"/>
    <w:rsid w:val="00693E77"/>
    <w:rsid w:val="006B068D"/>
    <w:rsid w:val="006B7FD2"/>
    <w:rsid w:val="006D415F"/>
    <w:rsid w:val="006F1A65"/>
    <w:rsid w:val="0070185B"/>
    <w:rsid w:val="00701AD4"/>
    <w:rsid w:val="0071070D"/>
    <w:rsid w:val="00736EF1"/>
    <w:rsid w:val="00736FC3"/>
    <w:rsid w:val="007416E1"/>
    <w:rsid w:val="00742B2E"/>
    <w:rsid w:val="00744705"/>
    <w:rsid w:val="00755A63"/>
    <w:rsid w:val="00756BB1"/>
    <w:rsid w:val="00756F0C"/>
    <w:rsid w:val="00775C57"/>
    <w:rsid w:val="00776DFA"/>
    <w:rsid w:val="007873E9"/>
    <w:rsid w:val="0079194C"/>
    <w:rsid w:val="0079766C"/>
    <w:rsid w:val="007B11EF"/>
    <w:rsid w:val="007C009C"/>
    <w:rsid w:val="007C0EF7"/>
    <w:rsid w:val="007C4A8D"/>
    <w:rsid w:val="007D4BBE"/>
    <w:rsid w:val="007D57A5"/>
    <w:rsid w:val="007D770C"/>
    <w:rsid w:val="007F1227"/>
    <w:rsid w:val="0080537E"/>
    <w:rsid w:val="0081043D"/>
    <w:rsid w:val="00812F4D"/>
    <w:rsid w:val="0083317C"/>
    <w:rsid w:val="00845E0D"/>
    <w:rsid w:val="00865592"/>
    <w:rsid w:val="008715D3"/>
    <w:rsid w:val="008834BC"/>
    <w:rsid w:val="00885722"/>
    <w:rsid w:val="008B4499"/>
    <w:rsid w:val="008C6ED6"/>
    <w:rsid w:val="008C76FD"/>
    <w:rsid w:val="008E777A"/>
    <w:rsid w:val="009006BA"/>
    <w:rsid w:val="00906785"/>
    <w:rsid w:val="00916FA8"/>
    <w:rsid w:val="00917C88"/>
    <w:rsid w:val="009248F8"/>
    <w:rsid w:val="00927AE2"/>
    <w:rsid w:val="00935223"/>
    <w:rsid w:val="00952462"/>
    <w:rsid w:val="0095500A"/>
    <w:rsid w:val="0098392B"/>
    <w:rsid w:val="009844A7"/>
    <w:rsid w:val="009845F3"/>
    <w:rsid w:val="00997378"/>
    <w:rsid w:val="009A0BE1"/>
    <w:rsid w:val="009A0ECA"/>
    <w:rsid w:val="009A6CDE"/>
    <w:rsid w:val="009B58F6"/>
    <w:rsid w:val="009E4EF4"/>
    <w:rsid w:val="009F580C"/>
    <w:rsid w:val="009F5B6E"/>
    <w:rsid w:val="00A0296F"/>
    <w:rsid w:val="00A02B39"/>
    <w:rsid w:val="00A2184E"/>
    <w:rsid w:val="00A237A3"/>
    <w:rsid w:val="00A3068B"/>
    <w:rsid w:val="00A33A19"/>
    <w:rsid w:val="00A35A8C"/>
    <w:rsid w:val="00A35EE3"/>
    <w:rsid w:val="00A36F38"/>
    <w:rsid w:val="00A41121"/>
    <w:rsid w:val="00A412FE"/>
    <w:rsid w:val="00A450D5"/>
    <w:rsid w:val="00A45B4F"/>
    <w:rsid w:val="00A52A32"/>
    <w:rsid w:val="00A66A2F"/>
    <w:rsid w:val="00A73E67"/>
    <w:rsid w:val="00A8200E"/>
    <w:rsid w:val="00A9302A"/>
    <w:rsid w:val="00AA0AF5"/>
    <w:rsid w:val="00AA3945"/>
    <w:rsid w:val="00AA5846"/>
    <w:rsid w:val="00AC37CA"/>
    <w:rsid w:val="00AC5376"/>
    <w:rsid w:val="00AD36B4"/>
    <w:rsid w:val="00AE3368"/>
    <w:rsid w:val="00AE6328"/>
    <w:rsid w:val="00AF285C"/>
    <w:rsid w:val="00AF455C"/>
    <w:rsid w:val="00AF55A5"/>
    <w:rsid w:val="00B00B8C"/>
    <w:rsid w:val="00B14182"/>
    <w:rsid w:val="00B1624D"/>
    <w:rsid w:val="00B177F4"/>
    <w:rsid w:val="00B34903"/>
    <w:rsid w:val="00B37BAF"/>
    <w:rsid w:val="00B645D3"/>
    <w:rsid w:val="00B70FC0"/>
    <w:rsid w:val="00B778CE"/>
    <w:rsid w:val="00B80120"/>
    <w:rsid w:val="00B959E2"/>
    <w:rsid w:val="00BB4304"/>
    <w:rsid w:val="00BC25D0"/>
    <w:rsid w:val="00BC38FA"/>
    <w:rsid w:val="00BD1C55"/>
    <w:rsid w:val="00BD79F0"/>
    <w:rsid w:val="00BF1660"/>
    <w:rsid w:val="00BF1A37"/>
    <w:rsid w:val="00BF5825"/>
    <w:rsid w:val="00C1274B"/>
    <w:rsid w:val="00C15709"/>
    <w:rsid w:val="00C352DA"/>
    <w:rsid w:val="00C40B74"/>
    <w:rsid w:val="00C44853"/>
    <w:rsid w:val="00C461F9"/>
    <w:rsid w:val="00C5645D"/>
    <w:rsid w:val="00C61A5D"/>
    <w:rsid w:val="00C64A3A"/>
    <w:rsid w:val="00C70D76"/>
    <w:rsid w:val="00C71C8F"/>
    <w:rsid w:val="00C754C0"/>
    <w:rsid w:val="00C76C78"/>
    <w:rsid w:val="00C83C61"/>
    <w:rsid w:val="00C87775"/>
    <w:rsid w:val="00CB0549"/>
    <w:rsid w:val="00CB3DAA"/>
    <w:rsid w:val="00CB7EB9"/>
    <w:rsid w:val="00CC23A7"/>
    <w:rsid w:val="00CE6EF0"/>
    <w:rsid w:val="00D13BEC"/>
    <w:rsid w:val="00D24CBE"/>
    <w:rsid w:val="00D260BC"/>
    <w:rsid w:val="00D32DDB"/>
    <w:rsid w:val="00D41342"/>
    <w:rsid w:val="00D425AF"/>
    <w:rsid w:val="00D640D8"/>
    <w:rsid w:val="00D66E1B"/>
    <w:rsid w:val="00D872C2"/>
    <w:rsid w:val="00D876A3"/>
    <w:rsid w:val="00D9047C"/>
    <w:rsid w:val="00D9691C"/>
    <w:rsid w:val="00DA54FD"/>
    <w:rsid w:val="00DA71EB"/>
    <w:rsid w:val="00DB2D42"/>
    <w:rsid w:val="00DB36C8"/>
    <w:rsid w:val="00DE407D"/>
    <w:rsid w:val="00DE7926"/>
    <w:rsid w:val="00DF045F"/>
    <w:rsid w:val="00DF3380"/>
    <w:rsid w:val="00E06B6C"/>
    <w:rsid w:val="00E22E9A"/>
    <w:rsid w:val="00E22F67"/>
    <w:rsid w:val="00E2666B"/>
    <w:rsid w:val="00E31532"/>
    <w:rsid w:val="00E31A98"/>
    <w:rsid w:val="00E354C8"/>
    <w:rsid w:val="00E4188E"/>
    <w:rsid w:val="00E50530"/>
    <w:rsid w:val="00E5517A"/>
    <w:rsid w:val="00E628B6"/>
    <w:rsid w:val="00E7109A"/>
    <w:rsid w:val="00E7248D"/>
    <w:rsid w:val="00E72F5D"/>
    <w:rsid w:val="00E7491A"/>
    <w:rsid w:val="00E74BBF"/>
    <w:rsid w:val="00E76F0B"/>
    <w:rsid w:val="00E80926"/>
    <w:rsid w:val="00E97075"/>
    <w:rsid w:val="00EA0E74"/>
    <w:rsid w:val="00EA6EC7"/>
    <w:rsid w:val="00EC00CD"/>
    <w:rsid w:val="00EC67F0"/>
    <w:rsid w:val="00ED2BE1"/>
    <w:rsid w:val="00ED532E"/>
    <w:rsid w:val="00ED7E5D"/>
    <w:rsid w:val="00EF1FD6"/>
    <w:rsid w:val="00EF2C4C"/>
    <w:rsid w:val="00EF4808"/>
    <w:rsid w:val="00F13F00"/>
    <w:rsid w:val="00F1445F"/>
    <w:rsid w:val="00F169DF"/>
    <w:rsid w:val="00F241E3"/>
    <w:rsid w:val="00F24279"/>
    <w:rsid w:val="00F33912"/>
    <w:rsid w:val="00F41D1B"/>
    <w:rsid w:val="00F44476"/>
    <w:rsid w:val="00F54A77"/>
    <w:rsid w:val="00F60087"/>
    <w:rsid w:val="00F85DE9"/>
    <w:rsid w:val="00F8687A"/>
    <w:rsid w:val="00FB12BF"/>
    <w:rsid w:val="00FB18FC"/>
    <w:rsid w:val="00FB1AB6"/>
    <w:rsid w:val="00FC4A0F"/>
    <w:rsid w:val="00FC7479"/>
    <w:rsid w:val="00FD27DC"/>
    <w:rsid w:val="00FD6F59"/>
    <w:rsid w:val="00FE0195"/>
    <w:rsid w:val="00FE157F"/>
    <w:rsid w:val="00FE45A5"/>
    <w:rsid w:val="00FE5DEF"/>
    <w:rsid w:val="00FE66C7"/>
    <w:rsid w:val="012F1CB0"/>
    <w:rsid w:val="018B3CF8"/>
    <w:rsid w:val="027C6DC4"/>
    <w:rsid w:val="03212C55"/>
    <w:rsid w:val="03720EFA"/>
    <w:rsid w:val="037776F6"/>
    <w:rsid w:val="05D86BEA"/>
    <w:rsid w:val="06A166B5"/>
    <w:rsid w:val="06B21812"/>
    <w:rsid w:val="06F47244"/>
    <w:rsid w:val="07DD47ED"/>
    <w:rsid w:val="07EE3CF6"/>
    <w:rsid w:val="0845254C"/>
    <w:rsid w:val="08B62D2F"/>
    <w:rsid w:val="09484245"/>
    <w:rsid w:val="094B18CA"/>
    <w:rsid w:val="09B554AF"/>
    <w:rsid w:val="0A314335"/>
    <w:rsid w:val="0A60541B"/>
    <w:rsid w:val="0ADC70F3"/>
    <w:rsid w:val="0B680445"/>
    <w:rsid w:val="0BC65752"/>
    <w:rsid w:val="0C013EB1"/>
    <w:rsid w:val="0C5C0D2C"/>
    <w:rsid w:val="0DBB3DEE"/>
    <w:rsid w:val="0EC01B56"/>
    <w:rsid w:val="0F7A1DF8"/>
    <w:rsid w:val="0F7F7041"/>
    <w:rsid w:val="0FA929BC"/>
    <w:rsid w:val="0FE40586"/>
    <w:rsid w:val="0FE4669F"/>
    <w:rsid w:val="10191A73"/>
    <w:rsid w:val="11162294"/>
    <w:rsid w:val="11804491"/>
    <w:rsid w:val="11D86BB2"/>
    <w:rsid w:val="12A0624F"/>
    <w:rsid w:val="133474D1"/>
    <w:rsid w:val="13DB7E0E"/>
    <w:rsid w:val="14305DAF"/>
    <w:rsid w:val="1479670A"/>
    <w:rsid w:val="16781D17"/>
    <w:rsid w:val="16DA287D"/>
    <w:rsid w:val="177405B9"/>
    <w:rsid w:val="17F1654D"/>
    <w:rsid w:val="198D1A0E"/>
    <w:rsid w:val="1A0C125A"/>
    <w:rsid w:val="1A0C4D43"/>
    <w:rsid w:val="1AC34FC0"/>
    <w:rsid w:val="1AD40655"/>
    <w:rsid w:val="1B9E56CB"/>
    <w:rsid w:val="1C1C5DDF"/>
    <w:rsid w:val="1CD6780E"/>
    <w:rsid w:val="1DA76E2D"/>
    <w:rsid w:val="1DA94461"/>
    <w:rsid w:val="1DDE20F5"/>
    <w:rsid w:val="1E32050F"/>
    <w:rsid w:val="1E4F3D07"/>
    <w:rsid w:val="1E511F89"/>
    <w:rsid w:val="2025634A"/>
    <w:rsid w:val="209E5CB7"/>
    <w:rsid w:val="214D72A1"/>
    <w:rsid w:val="21F21856"/>
    <w:rsid w:val="225701C2"/>
    <w:rsid w:val="22CA7B38"/>
    <w:rsid w:val="23813C5B"/>
    <w:rsid w:val="23824872"/>
    <w:rsid w:val="23D5257E"/>
    <w:rsid w:val="23D670E3"/>
    <w:rsid w:val="241050E5"/>
    <w:rsid w:val="25417765"/>
    <w:rsid w:val="25452535"/>
    <w:rsid w:val="26E6005B"/>
    <w:rsid w:val="26EB02E7"/>
    <w:rsid w:val="2745715E"/>
    <w:rsid w:val="275E5D0C"/>
    <w:rsid w:val="276A33E6"/>
    <w:rsid w:val="28BD5758"/>
    <w:rsid w:val="29873D3F"/>
    <w:rsid w:val="2B9B1A2E"/>
    <w:rsid w:val="2D4D255F"/>
    <w:rsid w:val="2D7966DF"/>
    <w:rsid w:val="2E184945"/>
    <w:rsid w:val="2EED4C20"/>
    <w:rsid w:val="30405223"/>
    <w:rsid w:val="30590D39"/>
    <w:rsid w:val="30B301AA"/>
    <w:rsid w:val="31532F43"/>
    <w:rsid w:val="31A81E84"/>
    <w:rsid w:val="325E36B6"/>
    <w:rsid w:val="32D81743"/>
    <w:rsid w:val="33082EE3"/>
    <w:rsid w:val="332B5CDD"/>
    <w:rsid w:val="341E3ACD"/>
    <w:rsid w:val="3436703B"/>
    <w:rsid w:val="35B603E7"/>
    <w:rsid w:val="35F26DD0"/>
    <w:rsid w:val="35FA3F54"/>
    <w:rsid w:val="36994DEC"/>
    <w:rsid w:val="36E52463"/>
    <w:rsid w:val="37620DCC"/>
    <w:rsid w:val="38632E63"/>
    <w:rsid w:val="38887767"/>
    <w:rsid w:val="392E76ED"/>
    <w:rsid w:val="39C36106"/>
    <w:rsid w:val="39C92D8C"/>
    <w:rsid w:val="3A4170A4"/>
    <w:rsid w:val="3A5D5235"/>
    <w:rsid w:val="3A652AB5"/>
    <w:rsid w:val="3B0A7B5B"/>
    <w:rsid w:val="3BB55B49"/>
    <w:rsid w:val="3C18376E"/>
    <w:rsid w:val="3CFB5057"/>
    <w:rsid w:val="3D335DAE"/>
    <w:rsid w:val="3DB86425"/>
    <w:rsid w:val="3DC7000C"/>
    <w:rsid w:val="3E7C1B1C"/>
    <w:rsid w:val="3ECE73BA"/>
    <w:rsid w:val="3F8C05DB"/>
    <w:rsid w:val="401121A6"/>
    <w:rsid w:val="4085414B"/>
    <w:rsid w:val="4194009F"/>
    <w:rsid w:val="42340294"/>
    <w:rsid w:val="426A537B"/>
    <w:rsid w:val="429714D8"/>
    <w:rsid w:val="42E819C3"/>
    <w:rsid w:val="44BB36FF"/>
    <w:rsid w:val="450C3A62"/>
    <w:rsid w:val="454D3304"/>
    <w:rsid w:val="45955C5A"/>
    <w:rsid w:val="45EB09FA"/>
    <w:rsid w:val="464A5CF9"/>
    <w:rsid w:val="486F710E"/>
    <w:rsid w:val="48950D9B"/>
    <w:rsid w:val="489B7E65"/>
    <w:rsid w:val="4994628C"/>
    <w:rsid w:val="49FB495E"/>
    <w:rsid w:val="4A136F98"/>
    <w:rsid w:val="4A474EAB"/>
    <w:rsid w:val="4A63340F"/>
    <w:rsid w:val="4BE34D06"/>
    <w:rsid w:val="4C7F6840"/>
    <w:rsid w:val="4E151266"/>
    <w:rsid w:val="4EC7369B"/>
    <w:rsid w:val="4F234D25"/>
    <w:rsid w:val="4F5C3F0A"/>
    <w:rsid w:val="50691A40"/>
    <w:rsid w:val="50C2570B"/>
    <w:rsid w:val="51054D5C"/>
    <w:rsid w:val="518060F2"/>
    <w:rsid w:val="51B97834"/>
    <w:rsid w:val="51C07593"/>
    <w:rsid w:val="51CF3815"/>
    <w:rsid w:val="52127C7B"/>
    <w:rsid w:val="52E657E9"/>
    <w:rsid w:val="534D6509"/>
    <w:rsid w:val="541850CF"/>
    <w:rsid w:val="54E72CFF"/>
    <w:rsid w:val="552A2023"/>
    <w:rsid w:val="55F122DB"/>
    <w:rsid w:val="560267B5"/>
    <w:rsid w:val="560637E8"/>
    <w:rsid w:val="56072260"/>
    <w:rsid w:val="56A37107"/>
    <w:rsid w:val="56C30055"/>
    <w:rsid w:val="57966878"/>
    <w:rsid w:val="5A00029F"/>
    <w:rsid w:val="5B417443"/>
    <w:rsid w:val="5B463937"/>
    <w:rsid w:val="5BA657E9"/>
    <w:rsid w:val="5BBC32C9"/>
    <w:rsid w:val="5BE2700B"/>
    <w:rsid w:val="5C1B6A5C"/>
    <w:rsid w:val="5C533A65"/>
    <w:rsid w:val="5C9D4CD8"/>
    <w:rsid w:val="5CE345F1"/>
    <w:rsid w:val="5D8451DF"/>
    <w:rsid w:val="5DA77024"/>
    <w:rsid w:val="5DC23607"/>
    <w:rsid w:val="5E5B5722"/>
    <w:rsid w:val="5F874000"/>
    <w:rsid w:val="5FDC1FA3"/>
    <w:rsid w:val="5FE62765"/>
    <w:rsid w:val="600F16B6"/>
    <w:rsid w:val="60BD12A1"/>
    <w:rsid w:val="61644299"/>
    <w:rsid w:val="6279041A"/>
    <w:rsid w:val="62991FE0"/>
    <w:rsid w:val="62FA70E3"/>
    <w:rsid w:val="633E6D8F"/>
    <w:rsid w:val="63AB062A"/>
    <w:rsid w:val="63E57D07"/>
    <w:rsid w:val="642E74E2"/>
    <w:rsid w:val="64611EB0"/>
    <w:rsid w:val="65187A69"/>
    <w:rsid w:val="65645909"/>
    <w:rsid w:val="66DD3B51"/>
    <w:rsid w:val="6713229C"/>
    <w:rsid w:val="67761C3D"/>
    <w:rsid w:val="67FA122C"/>
    <w:rsid w:val="68CD0146"/>
    <w:rsid w:val="69D37045"/>
    <w:rsid w:val="6A5E6839"/>
    <w:rsid w:val="6B0E29B2"/>
    <w:rsid w:val="6BA76F81"/>
    <w:rsid w:val="6BEB2387"/>
    <w:rsid w:val="6D300809"/>
    <w:rsid w:val="6EAD05B0"/>
    <w:rsid w:val="6F002964"/>
    <w:rsid w:val="6FEC1DAE"/>
    <w:rsid w:val="700871CF"/>
    <w:rsid w:val="711C42F4"/>
    <w:rsid w:val="71290DE0"/>
    <w:rsid w:val="7193448E"/>
    <w:rsid w:val="7242339A"/>
    <w:rsid w:val="725858B8"/>
    <w:rsid w:val="72DC25AE"/>
    <w:rsid w:val="72EE1FD2"/>
    <w:rsid w:val="7340360F"/>
    <w:rsid w:val="738D791A"/>
    <w:rsid w:val="74010C6B"/>
    <w:rsid w:val="742D2FC0"/>
    <w:rsid w:val="749C3062"/>
    <w:rsid w:val="75180B07"/>
    <w:rsid w:val="754328AE"/>
    <w:rsid w:val="76456BB7"/>
    <w:rsid w:val="76897EF9"/>
    <w:rsid w:val="76F8372F"/>
    <w:rsid w:val="774851A9"/>
    <w:rsid w:val="7780217E"/>
    <w:rsid w:val="78016613"/>
    <w:rsid w:val="7820684D"/>
    <w:rsid w:val="79DC10E6"/>
    <w:rsid w:val="7A167EE9"/>
    <w:rsid w:val="7A6F20E5"/>
    <w:rsid w:val="7A861051"/>
    <w:rsid w:val="7ADB2730"/>
    <w:rsid w:val="7AEB380C"/>
    <w:rsid w:val="7B7C2886"/>
    <w:rsid w:val="7C18188F"/>
    <w:rsid w:val="7C244A8B"/>
    <w:rsid w:val="7C9F2776"/>
    <w:rsid w:val="7D346EC3"/>
    <w:rsid w:val="7E495AED"/>
    <w:rsid w:val="7E6F3965"/>
    <w:rsid w:val="7F58555E"/>
    <w:rsid w:val="7F751A2A"/>
    <w:rsid w:val="7F7D63AA"/>
    <w:rsid w:val="7F8B5A1F"/>
    <w:rsid w:val="7FB805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b/>
      <w:kern w:val="44"/>
      <w:sz w:val="32"/>
      <w:szCs w:val="20"/>
    </w:rPr>
  </w:style>
  <w:style w:type="paragraph" w:styleId="3">
    <w:name w:val="heading 2"/>
    <w:basedOn w:val="1"/>
    <w:next w:val="1"/>
    <w:qFormat/>
    <w:uiPriority w:val="0"/>
    <w:pPr>
      <w:keepNext/>
      <w:keepLines/>
      <w:spacing w:before="260" w:after="260" w:line="400" w:lineRule="exact"/>
      <w:jc w:val="center"/>
      <w:outlineLvl w:val="1"/>
    </w:pPr>
    <w:rPr>
      <w:rFonts w:ascii="宋体" w:hAnsi="宋体"/>
      <w:b/>
      <w:bCs/>
      <w:kern w:val="0"/>
      <w:sz w:val="32"/>
      <w:szCs w:val="32"/>
    </w:rPr>
  </w:style>
  <w:style w:type="paragraph" w:styleId="4">
    <w:name w:val="heading 3"/>
    <w:basedOn w:val="1"/>
    <w:next w:val="5"/>
    <w:qFormat/>
    <w:uiPriority w:val="0"/>
    <w:pPr>
      <w:keepNext/>
      <w:keepLines/>
      <w:spacing w:before="260" w:after="260" w:line="300" w:lineRule="auto"/>
      <w:jc w:val="center"/>
      <w:outlineLvl w:val="2"/>
    </w:pPr>
    <w:rPr>
      <w:b/>
      <w:kern w:val="0"/>
      <w:sz w:val="32"/>
      <w:szCs w:val="20"/>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 w:val="14"/>
      <w:szCs w:val="20"/>
    </w:rPr>
  </w:style>
  <w:style w:type="paragraph" w:styleId="6">
    <w:name w:val="Document Map"/>
    <w:basedOn w:val="1"/>
    <w:qFormat/>
    <w:uiPriority w:val="0"/>
    <w:pPr>
      <w:shd w:val="clear" w:color="auto" w:fill="000080"/>
    </w:pPr>
  </w:style>
  <w:style w:type="paragraph" w:styleId="7">
    <w:name w:val="annotation text"/>
    <w:basedOn w:val="1"/>
    <w:link w:val="24"/>
    <w:qFormat/>
    <w:uiPriority w:val="0"/>
    <w:pPr>
      <w:jc w:val="left"/>
    </w:pPr>
  </w:style>
  <w:style w:type="paragraph" w:styleId="8">
    <w:name w:val="Body Text 3"/>
    <w:basedOn w:val="1"/>
    <w:qFormat/>
    <w:uiPriority w:val="0"/>
    <w:pPr>
      <w:snapToGrid w:val="0"/>
      <w:spacing w:line="300" w:lineRule="auto"/>
      <w:jc w:val="center"/>
    </w:pPr>
    <w:rPr>
      <w:rFonts w:ascii="华文行楷" w:hAnsi="华文细黑" w:eastAsia="华文行楷"/>
      <w:b/>
      <w:sz w:val="84"/>
    </w:rPr>
  </w:style>
  <w:style w:type="paragraph" w:styleId="9">
    <w:name w:val="Body Text"/>
    <w:basedOn w:val="1"/>
    <w:qFormat/>
    <w:uiPriority w:val="0"/>
    <w:rPr>
      <w:rFonts w:eastAsia="楷体_GB2312"/>
      <w:bCs/>
      <w:sz w:val="28"/>
      <w:szCs w:val="20"/>
    </w:rPr>
  </w:style>
  <w:style w:type="paragraph" w:styleId="10">
    <w:name w:val="Body Text Indent"/>
    <w:basedOn w:val="1"/>
    <w:qFormat/>
    <w:uiPriority w:val="0"/>
    <w:pPr>
      <w:snapToGrid w:val="0"/>
      <w:spacing w:line="300" w:lineRule="auto"/>
      <w:ind w:firstLine="527"/>
    </w:pPr>
    <w:rPr>
      <w:rFonts w:ascii="宋体" w:hAnsi="宋体"/>
      <w:bCs/>
      <w:sz w:val="28"/>
      <w:shd w:val="pct10" w:color="auto" w:fill="FFFFFF"/>
    </w:rPr>
  </w:style>
  <w:style w:type="paragraph" w:styleId="11">
    <w:name w:val="Plain Text"/>
    <w:basedOn w:val="1"/>
    <w:link w:val="29"/>
    <w:qFormat/>
    <w:uiPriority w:val="0"/>
    <w:rPr>
      <w:rFonts w:ascii="宋体" w:hAnsi="Courier New"/>
      <w:sz w:val="24"/>
    </w:rPr>
  </w:style>
  <w:style w:type="paragraph" w:styleId="12">
    <w:name w:val="Date"/>
    <w:basedOn w:val="1"/>
    <w:next w:val="1"/>
    <w:qFormat/>
    <w:uiPriority w:val="0"/>
    <w:pPr>
      <w:ind w:left="100" w:leftChars="2500"/>
    </w:pPr>
    <w:rPr>
      <w:rFonts w:ascii="宋体" w:hAnsi="宋体"/>
      <w:b/>
      <w:bCs/>
      <w:color w:val="FF0000"/>
      <w:kern w:val="0"/>
      <w:sz w:val="24"/>
    </w:rPr>
  </w:style>
  <w:style w:type="paragraph" w:styleId="13">
    <w:name w:val="Body Text Indent 2"/>
    <w:basedOn w:val="1"/>
    <w:qFormat/>
    <w:uiPriority w:val="0"/>
    <w:pPr>
      <w:ind w:firstLine="630" w:firstLineChars="225"/>
    </w:pPr>
    <w:rPr>
      <w:sz w:val="28"/>
    </w:rPr>
  </w:style>
  <w:style w:type="paragraph" w:styleId="14">
    <w:name w:val="Balloon Text"/>
    <w:basedOn w:val="1"/>
    <w:qFormat/>
    <w:uiPriority w:val="0"/>
    <w:rPr>
      <w:sz w:val="18"/>
      <w:szCs w:val="18"/>
    </w:rPr>
  </w:style>
  <w:style w:type="paragraph" w:styleId="15">
    <w:name w:val="footer"/>
    <w:basedOn w:val="1"/>
    <w:qFormat/>
    <w:uiPriority w:val="0"/>
    <w:pPr>
      <w:tabs>
        <w:tab w:val="center" w:pos="4153"/>
        <w:tab w:val="right" w:pos="8306"/>
      </w:tabs>
      <w:snapToGrid w:val="0"/>
      <w:jc w:val="left"/>
    </w:pPr>
    <w:rPr>
      <w:sz w:val="18"/>
      <w:szCs w:val="20"/>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Body Text Indent 3"/>
    <w:basedOn w:val="1"/>
    <w:qFormat/>
    <w:uiPriority w:val="0"/>
    <w:pPr>
      <w:ind w:left="720"/>
    </w:pPr>
    <w:rPr>
      <w:rFonts w:ascii="仿宋_GB2312" w:eastAsia="仿宋_GB2312"/>
      <w:sz w:val="28"/>
      <w:bdr w:val="single" w:color="auto" w:sz="4" w:space="0"/>
      <w:shd w:val="pct10" w:color="auto" w:fill="FFFFFF"/>
    </w:rPr>
  </w:style>
  <w:style w:type="paragraph" w:styleId="18">
    <w:name w:val="Body Text 2"/>
    <w:basedOn w:val="1"/>
    <w:qFormat/>
    <w:uiPriority w:val="0"/>
    <w:pPr>
      <w:spacing w:after="120" w:line="480" w:lineRule="auto"/>
    </w:pPr>
  </w:style>
  <w:style w:type="paragraph" w:styleId="1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22">
    <w:name w:val="page number"/>
    <w:basedOn w:val="21"/>
    <w:qFormat/>
    <w:uiPriority w:val="0"/>
  </w:style>
  <w:style w:type="character" w:styleId="23">
    <w:name w:val="Hyperlink"/>
    <w:basedOn w:val="21"/>
    <w:qFormat/>
    <w:uiPriority w:val="0"/>
    <w:rPr>
      <w:color w:val="0000FF"/>
      <w:u w:val="single"/>
    </w:rPr>
  </w:style>
  <w:style w:type="character" w:customStyle="1" w:styleId="24">
    <w:name w:val="批注文字 Char"/>
    <w:basedOn w:val="21"/>
    <w:link w:val="7"/>
    <w:qFormat/>
    <w:uiPriority w:val="0"/>
    <w:rPr>
      <w:rFonts w:eastAsia="宋体"/>
      <w:kern w:val="2"/>
      <w:sz w:val="21"/>
      <w:szCs w:val="24"/>
      <w:lang w:val="en-US" w:eastAsia="zh-CN" w:bidi="ar-SA"/>
    </w:rPr>
  </w:style>
  <w:style w:type="paragraph" w:customStyle="1" w:styleId="25">
    <w:name w:val="Char"/>
    <w:basedOn w:val="6"/>
    <w:qFormat/>
    <w:uiPriority w:val="0"/>
    <w:rPr>
      <w:rFonts w:ascii="Tahoma" w:hAnsi="Tahoma" w:cs="Tahoma"/>
      <w:kern w:val="0"/>
      <w:sz w:val="18"/>
    </w:rPr>
  </w:style>
  <w:style w:type="paragraph" w:customStyle="1" w:styleId="26">
    <w:name w:val="样式 标题 3 + 段前: 7.8 磅"/>
    <w:basedOn w:val="4"/>
    <w:qFormat/>
    <w:uiPriority w:val="0"/>
    <w:pPr>
      <w:keepNext w:val="0"/>
      <w:keepLines w:val="0"/>
      <w:spacing w:before="156" w:after="0" w:line="360" w:lineRule="auto"/>
      <w:ind w:left="2220" w:hanging="420"/>
      <w:jc w:val="both"/>
    </w:pPr>
    <w:rPr>
      <w:rFonts w:cs="宋体"/>
      <w:b w:val="0"/>
      <w:kern w:val="2"/>
      <w:sz w:val="24"/>
    </w:rPr>
  </w:style>
  <w:style w:type="character" w:customStyle="1" w:styleId="27">
    <w:name w:val="htd01"/>
    <w:basedOn w:val="21"/>
    <w:qFormat/>
    <w:uiPriority w:val="0"/>
  </w:style>
  <w:style w:type="paragraph" w:customStyle="1" w:styleId="28">
    <w:name w:val="列出段落1"/>
    <w:basedOn w:val="1"/>
    <w:qFormat/>
    <w:uiPriority w:val="0"/>
    <w:pPr>
      <w:ind w:firstLine="420" w:firstLineChars="200"/>
    </w:pPr>
    <w:rPr>
      <w:rFonts w:ascii="Calibri" w:hAnsi="Calibri"/>
      <w:szCs w:val="22"/>
    </w:rPr>
  </w:style>
  <w:style w:type="character" w:customStyle="1" w:styleId="29">
    <w:name w:val="纯文本 Char"/>
    <w:basedOn w:val="21"/>
    <w:link w:val="11"/>
    <w:qFormat/>
    <w:uiPriority w:val="0"/>
    <w:rPr>
      <w:rFonts w:ascii="宋体" w:hAnsi="Courier New" w:eastAsia="宋体"/>
      <w:kern w:val="2"/>
      <w:sz w:val="24"/>
      <w:lang w:val="en-US" w:eastAsia="zh-CN" w:bidi="ar-SA"/>
    </w:rPr>
  </w:style>
  <w:style w:type="paragraph" w:customStyle="1" w:styleId="30">
    <w:name w:val="列表段落1"/>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Office_12.1.0.15990_F1E327BC-269C-435d-A152-05C5408002CA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2023-11-09T15:05:00Z</dcterms:created>
  <dc:creator>11487</dc:creator>
  <cp:lastModifiedBy>P&amp;H</cp:lastModifiedBy>
  <dcterms:modified xsi:type="dcterms:W3CDTF">2023-11-21T04:51:29Z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1919BC6A6A6744E4AA403042F60E6181_12</vt:lpwstr>
  </property>
</Properties>
</file>