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cstate="print"/>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243" w:firstLineChars="55"/>
        <w:jc w:val="center"/>
        <w:rPr>
          <w:rFonts w:ascii="仿宋" w:hAnsi="仿宋" w:cs="仿宋"/>
          <w:b/>
          <w:sz w:val="44"/>
          <w:szCs w:val="44"/>
        </w:rPr>
      </w:pPr>
      <w:r>
        <w:rPr>
          <w:rFonts w:hint="eastAsia" w:ascii="仿宋" w:hAnsi="仿宋" w:cs="仿宋"/>
          <w:b/>
          <w:bCs/>
          <w:sz w:val="44"/>
          <w:szCs w:val="44"/>
        </w:rPr>
        <w:t>山东第一医科大学（山东省医学科学院）</w:t>
      </w:r>
      <w:r>
        <w:rPr>
          <w:rFonts w:hint="eastAsia" w:ascii="仿宋" w:hAnsi="仿宋" w:cs="仿宋"/>
          <w:b/>
          <w:bCs/>
          <w:sz w:val="44"/>
          <w:szCs w:val="44"/>
          <w:lang w:eastAsia="zh-CN"/>
        </w:rPr>
        <w:t>科教融合慢性肾脏病进展风险与防治的研究试剂耗材购置</w:t>
      </w:r>
      <w:r>
        <w:rPr>
          <w:rFonts w:hint="eastAsia" w:ascii="仿宋" w:hAnsi="仿宋" w:cs="仿宋"/>
          <w:b/>
          <w:bCs/>
          <w:sz w:val="44"/>
          <w:szCs w:val="44"/>
        </w:rPr>
        <w:t>竞争性磋商文件</w:t>
      </w:r>
    </w:p>
    <w:p>
      <w:pPr>
        <w:ind w:firstLine="0" w:firstLineChars="0"/>
        <w:rPr>
          <w:rFonts w:ascii="仿宋" w:hAnsi="仿宋" w:cs="仿宋"/>
        </w:rPr>
      </w:pPr>
    </w:p>
    <w:p>
      <w:pPr>
        <w:ind w:firstLine="199" w:firstLineChars="55"/>
        <w:jc w:val="center"/>
        <w:rPr>
          <w:rFonts w:hint="eastAsia" w:ascii="仿宋" w:hAnsi="仿宋" w:cs="仿宋"/>
          <w:b/>
          <w:sz w:val="36"/>
          <w:szCs w:val="36"/>
          <w:lang w:eastAsia="zh-CN"/>
        </w:rPr>
      </w:pPr>
      <w:r>
        <w:rPr>
          <w:rFonts w:hint="eastAsia" w:ascii="仿宋" w:hAnsi="仿宋" w:cs="仿宋"/>
          <w:b/>
          <w:sz w:val="36"/>
          <w:szCs w:val="36"/>
        </w:rPr>
        <w:t>项目编号：</w:t>
      </w:r>
      <w:r>
        <w:rPr>
          <w:rFonts w:hint="eastAsia" w:ascii="仿宋" w:hAnsi="仿宋" w:cs="仿宋"/>
          <w:b/>
          <w:sz w:val="36"/>
          <w:szCs w:val="36"/>
          <w:lang w:eastAsia="zh-CN"/>
        </w:rPr>
        <w:t>SDGP370000000202302003977</w:t>
      </w:r>
    </w:p>
    <w:p>
      <w:pPr>
        <w:ind w:firstLine="199" w:firstLineChars="55"/>
        <w:jc w:val="center"/>
        <w:rPr>
          <w:rFonts w:hint="eastAsia" w:ascii="仿宋" w:hAnsi="仿宋" w:eastAsia="仿宋" w:cs="仿宋"/>
          <w:b/>
          <w:sz w:val="36"/>
          <w:szCs w:val="36"/>
          <w:u w:val="single"/>
          <w:lang w:eastAsia="zh-CN"/>
        </w:rPr>
      </w:pPr>
      <w:r>
        <w:rPr>
          <w:rFonts w:hint="eastAsia" w:ascii="仿宋" w:hAnsi="仿宋" w:cs="仿宋"/>
          <w:b/>
          <w:sz w:val="36"/>
          <w:szCs w:val="36"/>
          <w:lang w:eastAsia="zh-CN"/>
        </w:rPr>
        <w:t>/sdhryw2023144</w:t>
      </w:r>
    </w:p>
    <w:p>
      <w:pPr>
        <w:pStyle w:val="3"/>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1440" w:leftChars="600" w:firstLine="0" w:firstLineChars="0"/>
        <w:rPr>
          <w:rFonts w:ascii="仿宋" w:hAnsi="仿宋" w:cs="仿宋"/>
          <w:b/>
          <w:sz w:val="36"/>
          <w:szCs w:val="36"/>
        </w:rPr>
      </w:pPr>
      <w:r>
        <w:rPr>
          <w:rFonts w:hint="eastAsia" w:ascii="仿宋" w:hAnsi="仿宋" w:cs="仿宋"/>
          <w:b/>
          <w:sz w:val="36"/>
          <w:szCs w:val="36"/>
        </w:rPr>
        <w:t>采   购   人：</w:t>
      </w:r>
      <w:r>
        <w:rPr>
          <w:rFonts w:hint="eastAsia" w:ascii="仿宋" w:hAnsi="仿宋" w:cs="仿宋"/>
          <w:b/>
          <w:bCs/>
          <w:sz w:val="36"/>
          <w:szCs w:val="36"/>
          <w:u w:val="single"/>
        </w:rPr>
        <w:t>山东第一医科大学（山东省医学科学院）</w:t>
      </w:r>
    </w:p>
    <w:p>
      <w:pPr>
        <w:ind w:firstLine="1446" w:firstLineChars="400"/>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w:t>
      </w:r>
      <w:r>
        <w:rPr>
          <w:rFonts w:hint="eastAsia" w:ascii="仿宋" w:hAnsi="仿宋" w:cs="仿宋"/>
          <w:b/>
          <w:sz w:val="36"/>
          <w:szCs w:val="36"/>
          <w:u w:val="single"/>
          <w:lang w:eastAsia="zh-CN"/>
        </w:rPr>
        <w:t>六</w:t>
      </w:r>
      <w:r>
        <w:rPr>
          <w:rFonts w:hint="eastAsia" w:ascii="仿宋" w:hAnsi="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8"/>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7"/>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rPr>
        <w:t>山东华仁永旺招标有限公司</w:t>
      </w:r>
      <w:r>
        <w:rPr>
          <w:rFonts w:ascii="Times New Roman" w:hAnsi="Times New Roman"/>
        </w:rPr>
        <w:t>（以下简称采购代理机构）受</w:t>
      </w:r>
      <w:r>
        <w:rPr>
          <w:rFonts w:hint="eastAsia" w:ascii="Times New Roman" w:hAnsi="Times New Roman"/>
        </w:rPr>
        <w:t>山东第一医科大学（山东省医学科学院）</w:t>
      </w:r>
      <w:r>
        <w:rPr>
          <w:rFonts w:ascii="Times New Roman" w:hAnsi="Times New Roman"/>
        </w:rPr>
        <w:t>的委托，对“</w:t>
      </w:r>
      <w:r>
        <w:rPr>
          <w:rFonts w:hint="eastAsia" w:ascii="Times New Roman" w:hAnsi="Times New Roman"/>
        </w:rPr>
        <w:t>山东第一医科大学（山东省医学科学院）</w:t>
      </w:r>
      <w:r>
        <w:rPr>
          <w:rFonts w:hint="eastAsia" w:ascii="Times New Roman" w:hAnsi="Times New Roman"/>
          <w:lang w:eastAsia="zh-CN"/>
        </w:rPr>
        <w:t>科教融合慢性肾脏病进展风险与防治的研究试剂耗材购置</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：山东第一医科大学（山东省医学科学院）</w:t>
      </w:r>
      <w:r>
        <w:rPr>
          <w:rFonts w:hint="eastAsia" w:ascii="Times New Roman" w:hAnsi="Times New Roman"/>
          <w:lang w:eastAsia="zh-CN"/>
        </w:rPr>
        <w:t>科教融合慢性肾脏病进展风险与防治的研究试剂耗材购置</w:t>
      </w:r>
    </w:p>
    <w:p>
      <w:pPr>
        <w:pStyle w:val="30"/>
        <w:spacing w:line="360" w:lineRule="auto"/>
        <w:ind w:firstLine="480"/>
        <w:rPr>
          <w:rFonts w:hint="eastAsia" w:ascii="Times New Roman" w:hAnsi="Times New Roman"/>
          <w:lang w:eastAsia="zh-CN"/>
        </w:rPr>
      </w:pPr>
      <w:r>
        <w:rPr>
          <w:rFonts w:ascii="Times New Roman" w:hAnsi="Times New Roman"/>
        </w:rPr>
        <w:t>项目编号：</w:t>
      </w:r>
      <w:r>
        <w:rPr>
          <w:rFonts w:hint="eastAsia" w:ascii="Times New Roman" w:hAnsi="Times New Roman"/>
          <w:lang w:eastAsia="zh-CN"/>
        </w:rPr>
        <w:t>SDGP370000000202302003977/sdhryw2023144</w:t>
      </w:r>
    </w:p>
    <w:p>
      <w:pPr>
        <w:pStyle w:val="30"/>
        <w:spacing w:line="360" w:lineRule="auto"/>
        <w:ind w:firstLine="480"/>
        <w:rPr>
          <w:rFonts w:hint="eastAsia" w:ascii="Times New Roman" w:hAnsi="Times New Roman"/>
          <w:lang w:eastAsia="zh-CN"/>
        </w:rPr>
      </w:pPr>
      <w:r>
        <w:rPr>
          <w:rFonts w:hint="eastAsia" w:ascii="Times New Roman" w:hAnsi="Times New Roman"/>
          <w:lang w:eastAsia="zh-CN"/>
        </w:rPr>
        <w:t>计划编号：37000000014006520230117</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rPr>
        <w:t>山东第一医科大学（山东省医学科学院）</w:t>
      </w:r>
      <w:r>
        <w:rPr>
          <w:rFonts w:hint="eastAsia" w:ascii="Times New Roman" w:hAnsi="Times New Roman"/>
          <w:lang w:eastAsia="zh-CN"/>
        </w:rPr>
        <w:t>科教融合慢性肾脏病进展风险与防治的研究试剂耗材购置</w:t>
      </w:r>
      <w:r>
        <w:rPr>
          <w:rFonts w:ascii="Times New Roman" w:hAnsi="Times New Roman"/>
        </w:rPr>
        <w:t>，包括拟采购设备的供货、运输、安装调试及售后服务等。</w:t>
      </w:r>
    </w:p>
    <w:p>
      <w:pPr>
        <w:pStyle w:val="30"/>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cs="仿宋"/>
          <w:color w:val="auto"/>
          <w:highlight w:val="none"/>
          <w:lang w:val="en-US" w:eastAsia="zh-CN"/>
        </w:rPr>
        <w:t>2</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1"/>
        <w:tblpPr w:leftFromText="180" w:rightFromText="180" w:vertAnchor="text" w:horzAnchor="page" w:tblpXSpec="center" w:tblpY="254"/>
        <w:tblOverlap w:val="never"/>
        <w:tblW w:w="5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9"/>
        <w:gridCol w:w="1509"/>
        <w:gridCol w:w="1802"/>
        <w:gridCol w:w="1688"/>
        <w:gridCol w:w="5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0"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697"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833"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780"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2337"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8"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697"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试剂耗材一</w:t>
            </w:r>
          </w:p>
        </w:tc>
        <w:tc>
          <w:tcPr>
            <w:tcW w:w="833"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780"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36</w:t>
            </w:r>
          </w:p>
        </w:tc>
        <w:tc>
          <w:tcPr>
            <w:tcW w:w="2337"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cs="仿宋"/>
                <w:color w:val="auto"/>
                <w:sz w:val="24"/>
                <w:szCs w:val="24"/>
                <w:highlight w:val="none"/>
                <w:lang w:val="en-US" w:eastAsia="zh-CN"/>
              </w:rPr>
              <w:t>3</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1"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p>
        </w:tc>
        <w:tc>
          <w:tcPr>
            <w:tcW w:w="697"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试剂耗材二</w:t>
            </w:r>
          </w:p>
        </w:tc>
        <w:tc>
          <w:tcPr>
            <w:tcW w:w="833"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780"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10</w:t>
            </w:r>
          </w:p>
        </w:tc>
        <w:tc>
          <w:tcPr>
            <w:tcW w:w="2337"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bl>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23</w:t>
      </w:r>
      <w:r>
        <w:rPr>
          <w:rFonts w:ascii="Times New Roman" w:hAnsi="Times New Roman"/>
        </w:rPr>
        <w:t>年</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15</w:t>
      </w:r>
      <w:r>
        <w:rPr>
          <w:rFonts w:ascii="Times New Roman" w:hAnsi="Times New Roman"/>
        </w:rPr>
        <w:t>日至20</w:t>
      </w:r>
      <w:r>
        <w:rPr>
          <w:rFonts w:hint="eastAsia" w:ascii="Times New Roman" w:hAnsi="Times New Roman"/>
        </w:rPr>
        <w:t>23</w:t>
      </w:r>
      <w:r>
        <w:rPr>
          <w:rFonts w:ascii="Times New Roman" w:hAnsi="Times New Roman"/>
        </w:rPr>
        <w:t>年</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21</w:t>
      </w:r>
      <w:r>
        <w:rPr>
          <w:rFonts w:ascii="Times New Roman" w:hAnsi="Times New Roman"/>
        </w:rPr>
        <w:t>日，每天8:30-1</w:t>
      </w: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0、13:30-1</w:t>
      </w:r>
      <w:r>
        <w:rPr>
          <w:rFonts w:hint="eastAsia" w:ascii="Times New Roman" w:hAnsi="Times New Roman"/>
        </w:rPr>
        <w:t>6</w:t>
      </w:r>
      <w:r>
        <w:rPr>
          <w:rFonts w:ascii="Times New Roman" w:hAnsi="Times New Roman"/>
        </w:rPr>
        <w:t>:</w:t>
      </w:r>
      <w:r>
        <w:rPr>
          <w:rFonts w:hint="eastAsia" w:ascii="Times New Roman" w:hAnsi="Times New Roma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rPr>
        <w:t>济南市历下区经十路13777号中润世纪广场18号楼603</w:t>
      </w:r>
      <w:r>
        <w:rPr>
          <w:rFonts w:ascii="Times New Roman" w:hAnsi="Times New Roman"/>
        </w:rPr>
        <w:t>(</w:t>
      </w:r>
      <w:r>
        <w:rPr>
          <w:rFonts w:hint="eastAsia" w:ascii="Times New Roman" w:hAnsi="Times New Roma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rPr>
        <w:t>4</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rPr>
        <w:t>山东华仁永旺招标有限公司</w:t>
      </w:r>
      <w:r>
        <w:rPr>
          <w:rFonts w:ascii="Times New Roman" w:hAnsi="Times New Roman"/>
        </w:rPr>
        <w:t>，开户银行：</w:t>
      </w:r>
      <w:r>
        <w:rPr>
          <w:rFonts w:hint="eastAsia" w:ascii="Times New Roman" w:hAnsi="Times New Roman"/>
        </w:rPr>
        <w:t>中国工商银行济南高新支行</w:t>
      </w:r>
      <w:r>
        <w:rPr>
          <w:rFonts w:ascii="Times New Roman" w:hAnsi="Times New Roman"/>
        </w:rPr>
        <w:t>，账号：</w:t>
      </w:r>
      <w:r>
        <w:rPr>
          <w:rFonts w:hint="eastAsia" w:ascii="Times New Roman" w:hAnsi="Times New Roma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cs="仿宋"/>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sdhryw@126.com）：上述资料扫描件及对公汇款截图、联系人、联系电话发至邮箱（</w:t>
      </w:r>
      <w:r>
        <w:rPr>
          <w:rFonts w:hint="eastAsia" w:ascii="仿宋" w:hAnsi="仿宋" w:cs="仿宋"/>
          <w:b/>
          <w:bCs/>
        </w:rPr>
        <w:t>报名费转账必须公对公转账并备注“23-1</w:t>
      </w:r>
      <w:r>
        <w:rPr>
          <w:rFonts w:hint="eastAsia" w:ascii="仿宋" w:hAnsi="仿宋" w:cs="仿宋"/>
          <w:b/>
          <w:bCs/>
          <w:lang w:val="en-US" w:eastAsia="zh-CN"/>
        </w:rPr>
        <w:t>44</w:t>
      </w:r>
      <w:r>
        <w:rPr>
          <w:rFonts w:hint="eastAsia" w:ascii="仿宋" w:hAnsi="仿宋" w:cs="仿宋"/>
          <w:b/>
          <w:bCs/>
        </w:rPr>
        <w:t>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23</w:t>
      </w:r>
      <w:r>
        <w:rPr>
          <w:rFonts w:ascii="Times New Roman" w:hAnsi="Times New Roman"/>
        </w:rPr>
        <w:t>年</w:t>
      </w:r>
      <w:r>
        <w:rPr>
          <w:rFonts w:hint="eastAsia" w:ascii="Times New Roman" w:hAnsi="Times New Roman"/>
        </w:rPr>
        <w:t xml:space="preserve"> </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26</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ascii="Times New Roman" w:hAnsi="Times New Roman"/>
        </w:rPr>
        <w:t>30-</w:t>
      </w:r>
      <w:r>
        <w:rPr>
          <w:rFonts w:hint="eastAsia" w:ascii="Times New Roman" w:hAnsi="Times New Roman"/>
          <w:lang w:val="en-US" w:eastAsia="zh-CN"/>
        </w:rPr>
        <w:t>14</w:t>
      </w:r>
      <w:r>
        <w:rPr>
          <w:rFonts w:ascii="Times New Roman" w:hAnsi="Times New Roman"/>
        </w:rPr>
        <w:t>:00（北京时间）。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23</w:t>
      </w:r>
      <w:r>
        <w:rPr>
          <w:rFonts w:ascii="Times New Roman" w:hAnsi="Times New Roman"/>
        </w:rPr>
        <w:t>年</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26</w:t>
      </w:r>
      <w:r>
        <w:rPr>
          <w:rFonts w:ascii="Times New Roman" w:hAnsi="Times New Roman"/>
        </w:rPr>
        <w:t>日</w:t>
      </w:r>
      <w:r>
        <w:rPr>
          <w:rFonts w:hint="eastAsia" w:ascii="Times New Roman" w:hAnsi="Times New Roman"/>
          <w:lang w:val="en-US" w:eastAsia="zh-CN"/>
        </w:rPr>
        <w:t>14</w:t>
      </w:r>
      <w:r>
        <w:rPr>
          <w:rFonts w:ascii="Times New Roman" w:hAnsi="Times New Roman"/>
        </w:rPr>
        <w:t>:00（北京时间），逾期递交的响应文件不予接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rPr>
        <w:t>济南市历下区经十路13777号中润世纪广场18号楼603A</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山东华仁永旺招标有限公司</w:t>
      </w:r>
    </w:p>
    <w:p>
      <w:pPr>
        <w:pStyle w:val="30"/>
        <w:spacing w:line="360" w:lineRule="auto"/>
        <w:ind w:firstLine="480"/>
        <w:rPr>
          <w:rFonts w:ascii="Times New Roman" w:hAnsi="Times New Roman"/>
        </w:rPr>
      </w:pPr>
      <w:r>
        <w:rPr>
          <w:rFonts w:ascii="Times New Roman" w:hAnsi="Times New Roman"/>
        </w:rPr>
        <w:t>2、地址：</w:t>
      </w:r>
      <w:r>
        <w:rPr>
          <w:rFonts w:hint="eastAsia" w:ascii="Times New Roman" w:hAnsi="Times New Roman"/>
        </w:rPr>
        <w:t>济南市历下区经十路13777号中润世纪广场18号楼603A</w:t>
      </w:r>
    </w:p>
    <w:p>
      <w:pPr>
        <w:pStyle w:val="30"/>
        <w:spacing w:line="360" w:lineRule="auto"/>
        <w:ind w:firstLine="480"/>
        <w:rPr>
          <w:rFonts w:ascii="Times New Roman" w:hAnsi="Times New Roman"/>
        </w:rPr>
      </w:pPr>
      <w:r>
        <w:rPr>
          <w:rFonts w:ascii="Times New Roman" w:hAnsi="Times New Roman"/>
        </w:rPr>
        <w:t>3、项目联系人：</w:t>
      </w:r>
      <w:r>
        <w:rPr>
          <w:rFonts w:hint="eastAsia" w:ascii="Times New Roman" w:hAnsi="Times New Roman"/>
        </w:rPr>
        <w:t>于美玲、葛东银</w:t>
      </w:r>
    </w:p>
    <w:p>
      <w:pPr>
        <w:pStyle w:val="30"/>
        <w:spacing w:line="360" w:lineRule="auto"/>
        <w:ind w:firstLine="480"/>
        <w:rPr>
          <w:rFonts w:ascii="Times New Roman" w:hAnsi="Times New Roman"/>
        </w:rPr>
      </w:pPr>
      <w:r>
        <w:rPr>
          <w:rFonts w:ascii="Times New Roman" w:hAnsi="Times New Roman"/>
        </w:rPr>
        <w:t>4、</w:t>
      </w:r>
      <w:r>
        <w:rPr>
          <w:rFonts w:hint="eastAsia" w:ascii="Times New Roman" w:hAnsi="Times New Roman"/>
        </w:rPr>
        <w:t>报名咨询电话：</w:t>
      </w:r>
      <w:r>
        <w:rPr>
          <w:rFonts w:hint="eastAsia" w:ascii="仿宋" w:hAnsi="仿宋" w:cs="仿宋"/>
        </w:rPr>
        <w:t xml:space="preserve"> </w:t>
      </w:r>
    </w:p>
    <w:p>
      <w:pPr>
        <w:pStyle w:val="30"/>
        <w:spacing w:line="360" w:lineRule="auto"/>
        <w:ind w:firstLine="480"/>
        <w:rPr>
          <w:rFonts w:ascii="Times New Roman" w:hAnsi="Times New Roman"/>
        </w:rPr>
      </w:pPr>
      <w:r>
        <w:rPr>
          <w:rFonts w:hint="eastAsia" w:ascii="Times New Roman" w:hAnsi="Times New Roman"/>
        </w:rPr>
        <w:t>5</w:t>
      </w:r>
      <w:r>
        <w:rPr>
          <w:rFonts w:ascii="Times New Roman" w:hAnsi="Times New Roman"/>
        </w:rPr>
        <w:t>、开户名称：</w:t>
      </w:r>
      <w:r>
        <w:rPr>
          <w:rFonts w:hint="eastAsia" w:ascii="Times New Roman" w:hAnsi="Times New Roman"/>
        </w:rPr>
        <w:t>山东华仁永旺招标有限公司</w:t>
      </w:r>
    </w:p>
    <w:p>
      <w:pPr>
        <w:pStyle w:val="30"/>
        <w:spacing w:line="360" w:lineRule="auto"/>
        <w:ind w:firstLine="480"/>
        <w:rPr>
          <w:rFonts w:ascii="Times New Roman" w:hAnsi="Times New Roman"/>
        </w:rPr>
      </w:pPr>
      <w:r>
        <w:rPr>
          <w:rFonts w:hint="eastAsia" w:ascii="Times New Roman" w:hAnsi="Times New Roman"/>
        </w:rPr>
        <w:t>6</w:t>
      </w:r>
      <w:r>
        <w:rPr>
          <w:rFonts w:ascii="Times New Roman" w:hAnsi="Times New Roman"/>
        </w:rPr>
        <w:t>、开户银行：</w:t>
      </w:r>
      <w:r>
        <w:rPr>
          <w:rFonts w:hint="eastAsia" w:ascii="Times New Roman" w:hAnsi="Times New Roman"/>
        </w:rPr>
        <w:t>中国工商银行济南高新支行</w:t>
      </w:r>
    </w:p>
    <w:p>
      <w:pPr>
        <w:pStyle w:val="30"/>
        <w:spacing w:line="360" w:lineRule="auto"/>
        <w:ind w:firstLine="480"/>
        <w:rPr>
          <w:rFonts w:ascii="Times New Roman" w:hAnsi="Times New Roman"/>
        </w:rPr>
      </w:pPr>
      <w:r>
        <w:rPr>
          <w:rFonts w:hint="eastAsia" w:ascii="Times New Roman" w:hAnsi="Times New Roman"/>
        </w:rPr>
        <w:t>7</w:t>
      </w:r>
      <w:r>
        <w:rPr>
          <w:rFonts w:ascii="Times New Roman" w:hAnsi="Times New Roman"/>
        </w:rPr>
        <w:t>、账    号：</w:t>
      </w:r>
      <w:r>
        <w:rPr>
          <w:rFonts w:hint="eastAsia" w:ascii="Times New Roman" w:hAnsi="Times New Roma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ind w:firstLine="643"/>
        <w:rPr>
          <w:rFonts w:ascii="Times New Roman" w:hAnsi="Times New Roman"/>
          <w:b/>
          <w:sz w:val="32"/>
          <w:szCs w:val="32"/>
        </w:rPr>
      </w:pPr>
      <w:bookmarkStart w:id="1" w:name="_Toc81467278"/>
      <w:r>
        <w:rPr>
          <w:rFonts w:hint="eastAsia"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ind w:firstLine="0" w:firstLineChars="0"/>
              <w:rPr>
                <w:rFonts w:ascii="Times New Roman" w:hAnsi="Times New Roman"/>
              </w:rPr>
            </w:pPr>
            <w:r>
              <w:rPr>
                <w:rFonts w:ascii="Times New Roman" w:hAnsi="Times New Roman"/>
              </w:rPr>
              <w:t>名称：</w:t>
            </w:r>
            <w:r>
              <w:rPr>
                <w:rFonts w:hint="eastAsia" w:ascii="Times New Roman" w:hAnsi="Times New Roman"/>
              </w:rPr>
              <w:t>山东华仁永旺招标有限公司</w:t>
            </w:r>
          </w:p>
          <w:p>
            <w:pPr>
              <w:ind w:firstLine="0" w:firstLineChars="0"/>
              <w:rPr>
                <w:rFonts w:ascii="Times New Roman" w:hAnsi="Times New Roman"/>
              </w:rPr>
            </w:pPr>
            <w:r>
              <w:rPr>
                <w:rFonts w:ascii="Times New Roman" w:hAnsi="Times New Roman"/>
              </w:rPr>
              <w:t>地址：</w:t>
            </w:r>
            <w:r>
              <w:rPr>
                <w:rFonts w:hint="eastAsia" w:ascii="Times New Roman" w:hAnsi="Times New Roma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ind w:firstLine="0" w:firstLineChars="0"/>
              <w:rPr>
                <w:rFonts w:ascii="Times New Roman" w:hAnsi="Times New Roman"/>
              </w:rPr>
            </w:pPr>
            <w:r>
              <w:rPr>
                <w:rFonts w:hint="eastAsia" w:ascii="仿宋" w:hAnsi="仿宋" w:cs="仿宋"/>
                <w:szCs w:val="24"/>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ascii="Times New Roman" w:hAnsi="Times New Roman"/>
              </w:rPr>
            </w:pPr>
            <w:r>
              <w:rPr>
                <w:rFonts w:hint="eastAsia" w:ascii="Times New Roman" w:hAnsi="Times New Roman"/>
                <w:lang w:eastAsia="zh-CN"/>
              </w:rPr>
              <w:t>37000000014006520230117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ind w:firstLine="0" w:firstLineChars="0"/>
              <w:jc w:val="both"/>
              <w:rPr>
                <w:rFonts w:ascii="Times New Roman" w:hAnsi="Times New Roman"/>
              </w:rPr>
            </w:pPr>
            <w:r>
              <w:rPr>
                <w:rFonts w:hint="eastAsia" w:ascii="Times New Roman" w:hAnsi="Times New Roma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ind w:firstLine="0" w:firstLineChars="0"/>
              <w:jc w:val="both"/>
              <w:rPr>
                <w:rFonts w:ascii="Times New Roman" w:hAnsi="Times New Roman"/>
              </w:rPr>
            </w:pPr>
            <w:r>
              <w:rPr>
                <w:rFonts w:hint="eastAsia" w:ascii="Times New Roman" w:hAnsi="Times New Roma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adjustRightInd w:val="0"/>
              <w:snapToGrid w:val="0"/>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Times New Roman" w:hAnsi="Times New Roman"/>
              </w:rPr>
            </w:pPr>
            <w:r>
              <w:rPr>
                <w:rFonts w:hint="eastAsia" w:ascii="Times New Roman" w:hAnsi="Times New Roman"/>
              </w:rPr>
              <w:t>☑</w:t>
            </w:r>
            <w:r>
              <w:rPr>
                <w:rFonts w:ascii="Times New Roman" w:hAnsi="Times New Roman"/>
              </w:rPr>
              <w:t>不允许</w:t>
            </w:r>
          </w:p>
          <w:p>
            <w:pPr>
              <w:adjustRightInd w:val="0"/>
              <w:snapToGrid w:val="0"/>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☑不需提交样品</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☑不需演示</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☑不组织</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Wingdings 2" w:hAnsi="Wingdings 2"/>
              </w:rPr>
            </w:pPr>
            <w:r>
              <w:rPr>
                <w:rFonts w:hint="eastAsia" w:ascii="Wingdings 2" w:hAnsi="Wingdings 2"/>
              </w:rPr>
              <w:t>□是</w:t>
            </w:r>
          </w:p>
          <w:p>
            <w:pPr>
              <w:adjustRightInd w:val="0"/>
              <w:snapToGrid w:val="0"/>
              <w:ind w:firstLine="0" w:firstLineChars="0"/>
              <w:rPr>
                <w:rFonts w:ascii="Wingdings 2" w:hAnsi="Wingdings 2"/>
              </w:rPr>
            </w:pP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ind w:firstLine="0" w:firstLineChars="0"/>
              <w:jc w:val="both"/>
              <w:rPr>
                <w:rFonts w:ascii="Times New Roman" w:hAnsi="Times New Roman"/>
              </w:rPr>
            </w:pPr>
            <w:r>
              <w:rPr>
                <w:rFonts w:hint="eastAsia" w:ascii="Times New Roman" w:hAnsi="Times New Roman"/>
              </w:rPr>
              <w:t>本项目为交钥匙工程。</w:t>
            </w:r>
          </w:p>
          <w:p>
            <w:pPr>
              <w:ind w:firstLine="0" w:firstLineChars="0"/>
              <w:jc w:val="both"/>
              <w:rPr>
                <w:rFonts w:ascii="Times New Roman" w:hAnsi="Times New Roman"/>
              </w:rPr>
            </w:pPr>
            <w:r>
              <w:rPr>
                <w:rFonts w:hint="eastAsia" w:ascii="Times New Roman" w:hAnsi="Times New Roman"/>
              </w:rPr>
              <w:t>本项目非一次性报价。</w:t>
            </w:r>
          </w:p>
          <w:p>
            <w:pPr>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成交供应商承担相应的关税风险，所有报价应包括设备费、包装、运输、服务、备件、卸车、保管、安装、检验、验收、策划、设计及其他附带服务的费用、利润以及质保期内的售后服务及磋商文件明示或隐含的全部费用）。</w:t>
            </w:r>
          </w:p>
          <w:p>
            <w:pPr>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p>
            <w:pPr>
              <w:adjustRightInd w:val="0"/>
              <w:snapToGrid w:val="0"/>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ind w:firstLine="0" w:firstLineChars="0"/>
              <w:rPr>
                <w:rFonts w:ascii="Times New Roman" w:hAnsi="Times New Roman"/>
                <w:szCs w:val="24"/>
              </w:rPr>
            </w:pPr>
            <w:r>
              <w:rPr>
                <w:rFonts w:hint="eastAsia" w:ascii="宋体" w:hAnsi="宋体" w:cs="宋体"/>
              </w:rPr>
              <w:t>中标后合同签订前中标人向采购人指定账户缴纳合同金额5%的履约保证金。在合同签订生效且具备实施条件后，中标人向项目负责人或指定人申请合同金额70%的预付款，采购人确定后7个工作日内支付。货物验收合格、审计定案（若需要）后7个工作日内，支付剩余合同货款。</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rPr>
              <w:t>3</w:t>
            </w:r>
            <w:r>
              <w:rPr>
                <w:rFonts w:ascii="Times New Roman" w:hAnsi="Times New Roman"/>
                <w:szCs w:val="24"/>
              </w:rPr>
              <w:t>年</w:t>
            </w:r>
            <w:r>
              <w:rPr>
                <w:rFonts w:hint="eastAsia" w:ascii="Times New Roman" w:hAnsi="Times New Roman"/>
                <w:szCs w:val="24"/>
                <w:lang w:val="en-US" w:eastAsia="zh-CN"/>
              </w:rPr>
              <w:t>6</w:t>
            </w:r>
            <w:r>
              <w:rPr>
                <w:rFonts w:ascii="Times New Roman" w:hAnsi="Times New Roman"/>
                <w:szCs w:val="24"/>
              </w:rPr>
              <w:t>月</w:t>
            </w:r>
            <w:r>
              <w:rPr>
                <w:rFonts w:hint="eastAsia" w:ascii="Times New Roman" w:hAnsi="Times New Roman"/>
                <w:szCs w:val="24"/>
                <w:lang w:val="en-US" w:eastAsia="zh-CN"/>
              </w:rPr>
              <w:t>26</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:30-</w:t>
            </w:r>
            <w:r>
              <w:rPr>
                <w:rFonts w:hint="eastAsia" w:ascii="Times New Roman" w:hAnsi="Times New Roman"/>
                <w:szCs w:val="24"/>
                <w:lang w:val="en-US" w:eastAsia="zh-CN"/>
              </w:rPr>
              <w:t>14</w:t>
            </w:r>
            <w:r>
              <w:rPr>
                <w:rFonts w:ascii="Times New Roman" w:hAnsi="Times New Roman"/>
                <w:szCs w:val="24"/>
              </w:rPr>
              <w:t>:00（北京时间）</w:t>
            </w:r>
          </w:p>
          <w:p>
            <w:pPr>
              <w:ind w:firstLine="0" w:firstLineChars="0"/>
              <w:rPr>
                <w:rFonts w:ascii="Times New Roman" w:hAnsi="Times New Roman"/>
              </w:rPr>
            </w:pPr>
            <w:r>
              <w:rPr>
                <w:rFonts w:ascii="Times New Roman" w:hAnsi="Times New Roman"/>
                <w:szCs w:val="24"/>
              </w:rPr>
              <w:t>地点：</w:t>
            </w:r>
            <w:r>
              <w:rPr>
                <w:rFonts w:hint="eastAsia" w:ascii="Times New Roman" w:hAnsi="Times New Roman"/>
                <w:szCs w:val="24"/>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rPr>
              <w:t>3</w:t>
            </w:r>
            <w:r>
              <w:rPr>
                <w:rFonts w:ascii="Times New Roman" w:hAnsi="Times New Roman"/>
                <w:szCs w:val="24"/>
              </w:rPr>
              <w:t>年</w:t>
            </w:r>
            <w:r>
              <w:rPr>
                <w:rFonts w:hint="eastAsia" w:ascii="Times New Roman" w:hAnsi="Times New Roman"/>
                <w:szCs w:val="24"/>
                <w:lang w:val="en-US" w:eastAsia="zh-CN"/>
              </w:rPr>
              <w:t>6</w:t>
            </w:r>
            <w:r>
              <w:rPr>
                <w:rFonts w:ascii="Times New Roman" w:hAnsi="Times New Roman"/>
                <w:szCs w:val="24"/>
              </w:rPr>
              <w:t>月</w:t>
            </w:r>
            <w:r>
              <w:rPr>
                <w:rFonts w:hint="eastAsia" w:ascii="Times New Roman" w:hAnsi="Times New Roman"/>
                <w:szCs w:val="24"/>
                <w:lang w:val="en-US" w:eastAsia="zh-CN"/>
              </w:rPr>
              <w:t>26</w:t>
            </w:r>
            <w:r>
              <w:rPr>
                <w:rFonts w:ascii="Times New Roman" w:hAnsi="Times New Roman"/>
                <w:szCs w:val="24"/>
              </w:rPr>
              <w:t>日</w:t>
            </w:r>
            <w:r>
              <w:rPr>
                <w:rFonts w:hint="eastAsia" w:ascii="Times New Roman" w:hAnsi="Times New Roman"/>
                <w:szCs w:val="24"/>
                <w:lang w:val="en-US" w:eastAsia="zh-CN"/>
              </w:rPr>
              <w:t>14</w:t>
            </w:r>
            <w:r>
              <w:rPr>
                <w:rFonts w:ascii="Times New Roman" w:hAnsi="Times New Roman"/>
                <w:szCs w:val="24"/>
              </w:rPr>
              <w:t>:00（北京时间）</w:t>
            </w:r>
          </w:p>
          <w:p>
            <w:pPr>
              <w:ind w:firstLine="0" w:firstLineChars="0"/>
              <w:rPr>
                <w:rFonts w:ascii="Times New Roman" w:hAnsi="Times New Roman"/>
              </w:rPr>
            </w:pPr>
            <w:r>
              <w:rPr>
                <w:rFonts w:ascii="Times New Roman" w:hAnsi="Times New Roman"/>
                <w:szCs w:val="24"/>
              </w:rPr>
              <w:t>地点：</w:t>
            </w:r>
            <w:r>
              <w:rPr>
                <w:rFonts w:hint="eastAsia" w:ascii="Times New Roman" w:hAnsi="Times New Roman"/>
                <w:szCs w:val="24"/>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31</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pPr>
              <w:ind w:firstLine="0" w:firstLineChars="0"/>
              <w:jc w:val="both"/>
              <w:rPr>
                <w:rFonts w:ascii="Times New Roman" w:hAnsi="Times New Roman"/>
                <w:szCs w:val="24"/>
              </w:rPr>
            </w:pPr>
            <w:r>
              <w:rPr>
                <w:rFonts w:ascii="Times New Roman" w:hAnsi="Times New Roman"/>
                <w:szCs w:val="24"/>
              </w:rPr>
              <w:t>账    号：</w:t>
            </w:r>
            <w:r>
              <w:rPr>
                <w:rFonts w:hint="eastAsia" w:ascii="Times New Roman" w:hAnsi="Times New Roman"/>
                <w:szCs w:val="24"/>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33</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ind w:firstLine="0" w:firstLineChars="0"/>
              <w:jc w:val="both"/>
              <w:rPr>
                <w:rFonts w:ascii="Times New Roman" w:hAnsi="Times New Roman"/>
                <w:szCs w:val="24"/>
              </w:rPr>
            </w:pPr>
            <w:r>
              <w:rPr>
                <w:rFonts w:hint="eastAsia" w:ascii="Times New Roman" w:hAnsi="Times New Roman"/>
                <w:szCs w:val="24"/>
              </w:rPr>
              <w:t>2、技术响应表；</w:t>
            </w:r>
          </w:p>
          <w:p>
            <w:pPr>
              <w:ind w:firstLine="0" w:firstLineChars="0"/>
              <w:jc w:val="both"/>
              <w:rPr>
                <w:rFonts w:ascii="Times New Roman" w:hAnsi="Times New Roman"/>
                <w:szCs w:val="24"/>
              </w:rPr>
            </w:pPr>
            <w:r>
              <w:rPr>
                <w:rFonts w:hint="eastAsia" w:ascii="Times New Roman" w:hAnsi="Times New Roman"/>
                <w:szCs w:val="24"/>
              </w:rPr>
              <w:t>3、检测机构出具的检测报告；</w:t>
            </w:r>
          </w:p>
          <w:p>
            <w:pPr>
              <w:ind w:firstLine="0" w:firstLineChars="0"/>
              <w:jc w:val="both"/>
              <w:rPr>
                <w:rFonts w:ascii="Times New Roman" w:hAnsi="Times New Roman"/>
                <w:szCs w:val="24"/>
              </w:rPr>
            </w:pPr>
            <w:r>
              <w:rPr>
                <w:rFonts w:hint="eastAsia" w:ascii="Times New Roman" w:hAnsi="Times New Roman"/>
                <w:szCs w:val="24"/>
              </w:rPr>
              <w:t>4、详细技术描述、建设方案等；</w:t>
            </w:r>
          </w:p>
          <w:p>
            <w:pPr>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36</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ind w:firstLine="0" w:firstLineChars="0"/>
              <w:jc w:val="both"/>
              <w:rPr>
                <w:rFonts w:ascii="Times New Roman" w:hAnsi="Times New Roman"/>
                <w:szCs w:val="24"/>
              </w:rPr>
            </w:pPr>
            <w:r>
              <w:rPr>
                <w:rFonts w:hint="eastAsia" w:ascii="Times New Roman" w:hAnsi="Times New Roman"/>
                <w:szCs w:val="24"/>
              </w:rPr>
              <w:t>4、所有提交成果一律不退回。</w:t>
            </w:r>
          </w:p>
          <w:p>
            <w:pPr>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37</w:t>
            </w:r>
          </w:p>
        </w:tc>
        <w:tc>
          <w:tcPr>
            <w:tcW w:w="1843" w:type="dxa"/>
            <w:vAlign w:val="center"/>
          </w:tcPr>
          <w:p>
            <w:pPr>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ind w:firstLine="199" w:firstLineChars="83"/>
              <w:rPr>
                <w:rFonts w:ascii="Times New Roman" w:hAnsi="Times New Roman"/>
                <w:color w:val="000000"/>
                <w:szCs w:val="21"/>
              </w:rPr>
            </w:pPr>
            <w:r>
              <w:rPr>
                <w:rFonts w:ascii="Times New Roman" w:hAnsi="Times New Roman"/>
                <w:color w:val="000000"/>
                <w:szCs w:val="21"/>
              </w:rPr>
              <w:t>注：</w:t>
            </w:r>
          </w:p>
          <w:p>
            <w:pPr>
              <w:widowControl/>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ind w:firstLine="643"/>
        <w:rPr>
          <w:rFonts w:ascii="Times New Roman" w:hAnsi="Times New Roman"/>
          <w:b/>
          <w:sz w:val="32"/>
          <w:szCs w:val="32"/>
        </w:rPr>
      </w:pPr>
      <w:bookmarkStart w:id="2" w:name="_Toc81467279"/>
      <w:r>
        <w:rPr>
          <w:rFonts w:hint="eastAsia" w:ascii="Times New Roman" w:hAnsi="Times New Roman"/>
          <w:b/>
          <w:sz w:val="32"/>
          <w:szCs w:val="32"/>
        </w:rPr>
        <w:br w:type="page"/>
      </w:r>
    </w:p>
    <w:p>
      <w:pPr>
        <w:widowControl/>
        <w:ind w:firstLine="0" w:firstLineChars="0"/>
        <w:jc w:val="center"/>
        <w:rPr>
          <w:rFonts w:ascii="Times New Roman" w:hAnsi="Times New Roman"/>
          <w:b/>
          <w:sz w:val="32"/>
          <w:szCs w:val="32"/>
        </w:rPr>
      </w:pPr>
      <w:r>
        <w:rPr>
          <w:rFonts w:hint="eastAsia" w:ascii="Times New Roman" w:hAnsi="Times New Roman"/>
          <w:b/>
          <w:sz w:val="32"/>
          <w:szCs w:val="32"/>
        </w:rPr>
        <w:t>第七部分  评审方法和评分细则</w:t>
      </w:r>
      <w:bookmarkEnd w:id="2"/>
    </w:p>
    <w:p>
      <w:pPr>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bookmarkStart w:id="5" w:name="_Toc81467282"/>
            <w:r>
              <w:rPr>
                <w:rFonts w:hint="eastAsia" w:ascii="仿宋" w:hAnsi="仿宋" w:cs="仿宋"/>
                <w:bCs/>
              </w:rPr>
              <w:t>投标报价</w:t>
            </w:r>
          </w:p>
          <w:p>
            <w:pPr>
              <w:pStyle w:val="12"/>
              <w:spacing w:after="0" w:line="480" w:lineRule="exact"/>
              <w:ind w:firstLine="480"/>
              <w:rPr>
                <w:rFonts w:ascii="仿宋" w:hAnsi="仿宋" w:cs="仿宋"/>
                <w:bCs/>
              </w:rPr>
            </w:pPr>
            <w:r>
              <w:rPr>
                <w:rFonts w:hint="eastAsia" w:ascii="仿宋" w:hAnsi="仿宋" w:cs="仿宋"/>
                <w:bCs/>
              </w:rPr>
              <w:t>30分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以满足招标文件要求且最终报价最低的投标报价为评标基准价，其价格分为满分30分，其他投标人的价格分按照下列公式计算：投标报价得分=（评标基准价/投标报价）×30%×100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对采购文件技术规格要求的响应程度</w:t>
            </w:r>
          </w:p>
          <w:p>
            <w:pPr>
              <w:pStyle w:val="12"/>
              <w:spacing w:after="0" w:line="480" w:lineRule="exact"/>
              <w:ind w:firstLine="0" w:firstLineChars="0"/>
              <w:jc w:val="center"/>
              <w:rPr>
                <w:rFonts w:ascii="仿宋" w:hAnsi="仿宋" w:cs="仿宋"/>
                <w:bCs/>
              </w:rPr>
            </w:pPr>
            <w:r>
              <w:rPr>
                <w:rFonts w:hint="eastAsia" w:ascii="仿宋" w:hAnsi="仿宋" w:cs="仿宋"/>
                <w:bCs/>
              </w:rPr>
              <w:t>24分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参数全部满足，得24分；每存在一项负偏离减2分，投标文件负偏离达到11条及以上的，评标委员会可视为其投标文件不满足招标文件技术要求，本项得0分。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供货组织方案</w:t>
            </w:r>
          </w:p>
          <w:p>
            <w:pPr>
              <w:pStyle w:val="12"/>
              <w:spacing w:after="0" w:line="480" w:lineRule="exact"/>
              <w:ind w:firstLine="0" w:firstLineChars="0"/>
              <w:jc w:val="center"/>
              <w:rPr>
                <w:rFonts w:ascii="仿宋" w:hAnsi="仿宋" w:cs="仿宋"/>
                <w:bCs/>
              </w:rPr>
            </w:pPr>
            <w:r>
              <w:rPr>
                <w:rFonts w:hint="eastAsia" w:ascii="仿宋" w:hAnsi="仿宋" w:cs="仿宋"/>
                <w:bCs/>
              </w:rPr>
              <w:t>16分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（1）项目分批供货，供货方案完善、描述清晰、切实可行，每项2 分，方案每有一处欠缺，减1分，满分6分。</w:t>
            </w:r>
          </w:p>
          <w:p>
            <w:pPr>
              <w:pStyle w:val="12"/>
              <w:spacing w:after="0" w:line="480" w:lineRule="exact"/>
              <w:ind w:firstLine="0" w:firstLineChars="0"/>
              <w:rPr>
                <w:rFonts w:ascii="仿宋" w:hAnsi="仿宋" w:cs="仿宋"/>
                <w:bCs/>
              </w:rPr>
            </w:pPr>
            <w:r>
              <w:rPr>
                <w:rFonts w:hint="eastAsia" w:ascii="仿宋" w:hAnsi="仿宋" w:cs="仿宋"/>
                <w:bCs/>
              </w:rPr>
              <w:t>（2）项目人员专业、岗位安排合理，每项1 分，方案每有一处欠缺，减 0.5分，满分2分。</w:t>
            </w:r>
          </w:p>
          <w:p>
            <w:pPr>
              <w:pStyle w:val="12"/>
              <w:spacing w:after="0" w:line="480" w:lineRule="exact"/>
              <w:ind w:firstLine="0" w:firstLineChars="0"/>
              <w:rPr>
                <w:rFonts w:ascii="仿宋" w:hAnsi="仿宋" w:cs="仿宋"/>
                <w:bCs/>
              </w:rPr>
            </w:pPr>
            <w:r>
              <w:rPr>
                <w:rFonts w:hint="eastAsia" w:ascii="仿宋" w:hAnsi="仿宋" w:cs="仿宋"/>
                <w:bCs/>
              </w:rPr>
              <w:t>（3）项目进度实施计划、健全、详细周到、具有针对性，每项1 分，方案每有一处欠缺，减 0.5分，满分4分。</w:t>
            </w:r>
          </w:p>
          <w:p>
            <w:pPr>
              <w:pStyle w:val="12"/>
              <w:spacing w:after="0" w:line="480" w:lineRule="exact"/>
              <w:ind w:firstLine="0" w:firstLineChars="0"/>
              <w:rPr>
                <w:rFonts w:ascii="仿宋" w:hAnsi="仿宋" w:cs="仿宋"/>
                <w:bCs/>
              </w:rPr>
            </w:pPr>
            <w:r>
              <w:rPr>
                <w:rFonts w:hint="eastAsia" w:ascii="仿宋" w:hAnsi="仿宋" w:cs="仿宋"/>
                <w:bCs/>
              </w:rPr>
              <w:t>（4）安全保证措施完整、健全、详细周到、具有针对性，每项1 分，方案每有一处欠缺，减 0.5分，满分4分。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both"/>
              <w:rPr>
                <w:rFonts w:ascii="仿宋" w:hAnsi="仿宋" w:cs="仿宋"/>
                <w:bCs/>
              </w:rPr>
            </w:pPr>
            <w:r>
              <w:rPr>
                <w:rFonts w:hint="eastAsia" w:ascii="仿宋" w:hAnsi="仿宋" w:cs="仿宋"/>
                <w:bCs/>
              </w:rPr>
              <w:t>存储、运输及应急方案12分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供应商或制造商有详细、符合项目实际的需求的运输、存储方案及应急方案的等综合评分。</w:t>
            </w:r>
          </w:p>
          <w:p>
            <w:pPr>
              <w:pStyle w:val="12"/>
              <w:spacing w:after="0" w:line="480" w:lineRule="exact"/>
              <w:ind w:firstLine="0" w:firstLineChars="0"/>
              <w:rPr>
                <w:rFonts w:ascii="仿宋" w:hAnsi="仿宋" w:cs="仿宋"/>
                <w:bCs/>
              </w:rPr>
            </w:pPr>
            <w:r>
              <w:rPr>
                <w:rFonts w:hint="eastAsia" w:ascii="仿宋" w:hAnsi="仿宋" w:cs="仿宋"/>
                <w:bCs/>
              </w:rPr>
              <w:t>运输、储存方案及应急方案完全满足项目需求，切实可行，具有针对性的得12分，如运输、储存方案及应急方案没有针对性、不切实际等，每存在一项扣1分，对于偏差内容较大之处，每存在一项扣4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服务支持</w:t>
            </w:r>
          </w:p>
          <w:p>
            <w:pPr>
              <w:pStyle w:val="12"/>
              <w:spacing w:after="0" w:line="480" w:lineRule="exact"/>
              <w:ind w:firstLine="0" w:firstLineChars="0"/>
              <w:jc w:val="center"/>
              <w:rPr>
                <w:rFonts w:ascii="仿宋" w:hAnsi="仿宋" w:cs="仿宋"/>
                <w:bCs/>
              </w:rPr>
            </w:pPr>
            <w:r>
              <w:rPr>
                <w:rFonts w:hint="eastAsia" w:ascii="仿宋" w:hAnsi="仿宋" w:cs="仿宋"/>
                <w:bCs/>
              </w:rPr>
              <w:t>15分</w:t>
            </w:r>
          </w:p>
        </w:tc>
        <w:tc>
          <w:tcPr>
            <w:tcW w:w="7186" w:type="dxa"/>
          </w:tcPr>
          <w:p>
            <w:pPr>
              <w:tabs>
                <w:tab w:val="left" w:pos="7215"/>
              </w:tabs>
              <w:ind w:firstLine="0" w:firstLineChars="0"/>
              <w:rPr>
                <w:rFonts w:ascii="仿宋" w:hAnsi="仿宋" w:cs="仿宋"/>
                <w:bCs/>
              </w:rPr>
            </w:pPr>
            <w:r>
              <w:rPr>
                <w:rFonts w:hint="eastAsia" w:ascii="仿宋" w:hAnsi="仿宋" w:cs="仿宋"/>
                <w:szCs w:val="24"/>
              </w:rPr>
              <w:t>对投标人①服务机构设置、②服务方案、③服务人员的配置、④响应时间及响应程度，⑤解决问题的能力和紧急故障处理预案等进行综合评价，以上五项每项完全满足招标文件要求得3分，共15分。其中服务机构设置不合理、服务方案考虑不周全、人员配置不合理响应不够充分、解决问题能力较弱，以上内容每存在一项扣1分，对于偏差内容较大之处，每存在一项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67" w:type="dxa"/>
            <w:vAlign w:val="center"/>
          </w:tcPr>
          <w:p>
            <w:pPr>
              <w:pStyle w:val="12"/>
              <w:spacing w:after="0" w:line="480" w:lineRule="exact"/>
              <w:ind w:firstLine="0" w:firstLineChars="0"/>
              <w:jc w:val="center"/>
              <w:rPr>
                <w:rFonts w:ascii="仿宋" w:hAnsi="仿宋" w:cs="仿宋"/>
                <w:bCs/>
              </w:rPr>
            </w:pPr>
            <w:r>
              <w:rPr>
                <w:rFonts w:hint="eastAsia" w:ascii="仿宋" w:hAnsi="仿宋" w:cs="仿宋"/>
                <w:bCs/>
              </w:rPr>
              <w:t>业绩</w:t>
            </w:r>
          </w:p>
          <w:p>
            <w:pPr>
              <w:pStyle w:val="12"/>
              <w:spacing w:after="0" w:line="480" w:lineRule="exact"/>
              <w:ind w:firstLine="0" w:firstLineChars="0"/>
              <w:jc w:val="center"/>
              <w:rPr>
                <w:rFonts w:ascii="仿宋" w:hAnsi="仿宋" w:cs="仿宋"/>
                <w:bCs/>
              </w:rPr>
            </w:pPr>
            <w:r>
              <w:rPr>
                <w:rFonts w:hint="eastAsia" w:ascii="仿宋" w:hAnsi="仿宋" w:cs="仿宋"/>
                <w:bCs/>
              </w:rPr>
              <w:t>3分</w:t>
            </w:r>
          </w:p>
        </w:tc>
        <w:tc>
          <w:tcPr>
            <w:tcW w:w="7186" w:type="dxa"/>
            <w:vAlign w:val="center"/>
          </w:tcPr>
          <w:p>
            <w:pPr>
              <w:pStyle w:val="12"/>
              <w:spacing w:after="0" w:line="480" w:lineRule="exact"/>
              <w:ind w:firstLine="0" w:firstLineChars="0"/>
              <w:rPr>
                <w:rFonts w:ascii="仿宋" w:hAnsi="仿宋" w:cs="仿宋"/>
                <w:bCs/>
              </w:rPr>
            </w:pPr>
            <w:r>
              <w:rPr>
                <w:rFonts w:hint="eastAsia" w:ascii="仿宋" w:hAnsi="仿宋" w:cs="仿宋"/>
                <w:bCs/>
              </w:rPr>
              <w:t>根据供应商所投产品近三年（2020年</w:t>
            </w:r>
            <w:r>
              <w:rPr>
                <w:rFonts w:hint="eastAsia" w:ascii="仿宋" w:hAnsi="仿宋" w:cs="仿宋"/>
                <w:bCs/>
                <w:lang w:val="en-US" w:eastAsia="zh-CN"/>
              </w:rPr>
              <w:t>6</w:t>
            </w:r>
            <w:r>
              <w:rPr>
                <w:rFonts w:hint="eastAsia" w:ascii="仿宋" w:hAnsi="仿宋" w:cs="仿宋"/>
                <w:bCs/>
              </w:rPr>
              <w:t>月至投标截止日止，以合同签订时间为准）完成同类项目的业绩，每提供1项业绩得1分，最高得3分。</w:t>
            </w:r>
          </w:p>
          <w:p>
            <w:pPr>
              <w:pStyle w:val="12"/>
              <w:spacing w:after="0" w:line="480" w:lineRule="exact"/>
              <w:ind w:firstLine="0" w:firstLineChars="0"/>
              <w:rPr>
                <w:rFonts w:ascii="仿宋" w:hAnsi="仿宋" w:cs="仿宋"/>
                <w:bCs/>
              </w:rPr>
            </w:pPr>
            <w:r>
              <w:rPr>
                <w:rFonts w:hint="eastAsia" w:ascii="仿宋" w:hAnsi="仿宋" w:cs="仿宋"/>
                <w:bCs/>
              </w:rPr>
              <w:t>注：1.供应商需提供中标合同复印件，否则业绩不予认可。</w:t>
            </w:r>
          </w:p>
          <w:p>
            <w:pPr>
              <w:pStyle w:val="12"/>
              <w:spacing w:after="0" w:line="480" w:lineRule="exact"/>
              <w:ind w:firstLine="0" w:firstLineChars="0"/>
              <w:rPr>
                <w:rFonts w:ascii="仿宋" w:hAnsi="仿宋" w:cs="仿宋"/>
                <w:bCs/>
              </w:rPr>
            </w:pPr>
            <w:r>
              <w:rPr>
                <w:rFonts w:hint="eastAsia" w:ascii="仿宋" w:hAnsi="仿宋" w:cs="仿宋"/>
                <w:bCs/>
              </w:rPr>
              <w:t>2.需为投标产品销售至最终使用单位的业绩合同。</w:t>
            </w:r>
          </w:p>
        </w:tc>
      </w:tr>
    </w:tbl>
    <w:p>
      <w:pPr>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p>
      <w:pPr>
        <w:ind w:firstLine="480"/>
        <w:rPr>
          <w:rFonts w:hint="eastAsia" w:ascii="仿宋" w:hAnsi="仿宋" w:cs="仿宋"/>
          <w:szCs w:val="24"/>
          <w:lang w:val="en-US" w:eastAsia="zh-CN"/>
        </w:rPr>
      </w:pPr>
      <w:r>
        <w:rPr>
          <w:rFonts w:hint="eastAsia" w:ascii="仿宋" w:hAnsi="仿宋" w:cs="仿宋"/>
          <w:szCs w:val="24"/>
          <w:lang w:val="en-US" w:eastAsia="zh-CN"/>
        </w:rPr>
        <w:t>A包 预算：36万元</w:t>
      </w:r>
    </w:p>
    <w:tbl>
      <w:tblPr>
        <w:tblStyle w:val="21"/>
        <w:tblW w:w="448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5"/>
        <w:gridCol w:w="5642"/>
        <w:gridCol w:w="2463"/>
        <w:gridCol w:w="555"/>
        <w:gridCol w:w="6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试剂/耗材名称</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规格型号</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 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0.1白色半裙边pcr板96孔</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125条/盒</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0.22um针头式滤器，30mm,PES,独立包装，灭菌[Jet FPE204030]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1个/包，45个/盒，360个/箱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0.45um PVDF膜</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26.5cm*3.75m</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1.5ml微量离心管，锥形底,袋装,无DNA/RNA酶,不灭菌[Jet CFT000015]</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500支/袋/盒,8袋/箱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1000ul加长型袋装吸头,蓝色带刻度</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1000支/包,10包/箱 </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10cm细胞培养皿，表面处理，灭菌[Jet TCD010100]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10只/包，30包/箱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10ml一次性移液管，刻度1/10,橙色色环,灭菌[Jet GSP010010]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1支/包,200支/箱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10ul短白吸头[Biosharp BS-10-T DP]</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1000个/包,40包/箱 </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15ml平盖离心管，锥形底,RCF12000xg,袋装,灭菌[Jet CFT011150]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25支/袋,20袋/箱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2.0ml可立外旋冻存管[Corning 430659]</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50个/包,10包/箱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2.0ml微量离心管，锥形底,袋装,无DNA/RNA酶，不灭菌[Jet CFT000020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500支/袋/盒,8袋/箱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25cm细胞培养瓶,50ml,表面处理,滤膜盖[Jet TCF012050]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10只/包，20包/箱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6.0cm细胞培养皿，21.2cm2, 表面处理，灭菌[Jet TCD010060]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10只/包，60包/箱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6孔板圆形细胞爬片(直径24mm),TC,灭菌</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100片/盒</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6孔细胞培养板，标准型，表面处理，灭菌[Jet TCP010006]</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1块/袋，200块/箱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75cm细胞培养瓶，表面处理，滤膜盖[Jet TCF012250]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5只/包，20包/箱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96孔细胞培养板，标准型，表面处理，灭菌[Jet TCP010096]</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1块/袋，200块/箱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Annexin V-APC/7-AAD细胞凋亡检测试剂盒[Elabscience E-CK-A218]-20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100Assays</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Annexin V-EGFP凋亡检测试剂盒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Anti-ATF3 Antibody抗体</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Anti-CD31 Antibody抗体</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Anti-DPP4抗体[11D7]</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Anti-iNOS抗体[EPR16635] </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Anti-SIRT1抗体[E104][Abcam ab32441 40ul]</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ChIP Assay Kit 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EdU-555细胞增殖检测试剂盒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50~500次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EMSA/Gel-Shift 试剂盒 </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Enhance Cell Counting试剂盒[Elabscience E-CK-A362 100T]</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29</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Omni-Easy™即用型BCA蛋白定量试剂盒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2500次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Omni-ECL™超灵敏化学发光检测试剂盒（飞克级）</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Omni-Flash™免冰浴快速转膜缓冲液（10×）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One-step TUNEL In Situ Apoptosis Kit试剂盒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PAGE凝胶快速制备试剂盒（10%）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125gels</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Rat IL-10(Interleukin 10) 试剂盒[Elabscience E-EL-R0016c 96T]4℃</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Rat IL-1β ELISA 试剂盒[Elabscience E-EL-R0012c 96T]</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36</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Rat IL-6 ELISA试剂盒[Elabscience E-EL-R0015c 96T]</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Rat TNF-α ELISA试剂盒[Elabscience  E-EL-R2856c 96t]</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38</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RFect小核酸转染试剂[百代 11011 0.5ml]</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0.5ml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RIPA裂解液（强）</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RPMI 1640 培养基，含 L-谷氨酰胺[源培 L210KJ 500ml]</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S号无粉乳胶手套[思诺佰康 BG005]</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100只/盒，10盒/箱</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TBS/Tween缓冲液（10×）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Tris/甘氨酸/SDS电泳缓冲液（10×）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UltraFectin 转染专用减血清培养基[源培 L530JV 100mL]4℃</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WB抗体快速剥离缓冲液（温和通用型）</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蛋白酶抑制剂混合液（不含EDTA）（100×）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封板膜</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100片/盒</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经典Protein A/G免疫（共）沉淀试剂盒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49</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快速细胞冻存液（无蛋白、无DMSO）</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青霉素-链霉素（双抗），100X[源培 S110JV 100ml]</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人肿瘤坏死因子α(TNF-α)ELISA试剂盒[Elabscience E-EL-H0109c]4℃</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96T</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三色预染蛋白Marker 10kDa~250kDa</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250μL×10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特级南美胎牛血清[Lonsera S711-001S 500ml]-20℃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通用二步法检测试剂盒[中杉 PV-9000]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通用型抗体稀释液</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无酶无菌水[Solarbio R1600-100 100ml]</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无糖 RPMI 1640 培养基 </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58</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胰蛋白酶消化液</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59</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胰酶消化溶液[源培 S310JV 100ML]-20℃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支原体清除剂（1000×）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200μL×5</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61</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重组Anti-Desmin抗体</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62</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重组Anti-Synaptopodin抗体</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63</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柱式动物组织/细胞总蛋白抽提试剂盒</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50次</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转膜缓冲液（10×）</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2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转染试剂Lipofectamine  3000，1.5ml</w:t>
            </w:r>
          </w:p>
        </w:tc>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bl>
    <w:p>
      <w:pPr>
        <w:pStyle w:val="2"/>
        <w:ind w:left="0" w:leftChars="0" w:firstLine="0" w:firstLineChars="0"/>
        <w:rPr>
          <w:rFonts w:hint="eastAsia"/>
          <w:lang w:val="en-US" w:eastAsia="zh-CN"/>
        </w:rPr>
      </w:pPr>
      <w:r>
        <w:rPr>
          <w:rFonts w:hint="eastAsia"/>
          <w:b/>
          <w:bCs/>
          <w:lang w:val="en-US" w:eastAsia="zh-CN"/>
        </w:rPr>
        <w:t>B包  预算：10万元</w:t>
      </w: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8"/>
        <w:gridCol w:w="4950"/>
        <w:gridCol w:w="2100"/>
        <w:gridCol w:w="735"/>
        <w:gridCol w:w="12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序号</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试剂/耗材名称</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规格型号</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数量</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单 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尼龙膜N+（0.45um）AMersham</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15cm*20cm</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mmu-miR-130b-3p引物套装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1nmol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PTEN质粒</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50ug</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RNA纯化试剂盒(DP412)</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50次</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5</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FastDigest HindIII</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800reactions</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6</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FastDigest XhoI</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 reactions</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7</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DNase I, RNase-free (1 U/µL)</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1,000 units</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8</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Lipofectamine 2000转染试剂</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9</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 Tris-HCl,pH8.8</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转染试剂Lipofectamine  3000，1.5ml</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11</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Anti-rabbit IgG, HRP-linked Antibody </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12</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Anti-mouse IgG, HRP-linked Antibody </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13</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OPTI MEM</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14</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 SDS</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15</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RPMI 1640</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16</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DEPC水(DNase、RNase free)</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100ml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17</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0.1白色半裙边pcr板96孔</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125条/盒</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18</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HNRNPA2B1-homo siRNA</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19</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hsa-mir-10b-5p mimics</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5OD</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20</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hsa-mir-10b-5p inhibitor</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5OD</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21</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hsa-miR-10b-5p 引物套装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1nmol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22</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hsa-mir-130b-3p引物套装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1nmol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23</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mmu-miR-216a-5p引物套装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1nmol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24</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U6引物套装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1nmol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25</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Dual-Luciferase® Reporter Assay System</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100次</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26</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ChIP Assay Kit</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22次</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27</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pre-hsa-mir-10b-5p 引物套装</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1nmol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28</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hsa-mir-10b-5p正义链-biotin</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29</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hsa-mir-10b-5p反义链-biotin</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30</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RAB27A-homo siRNA</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31</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HA-Tag (C29F4) Rabbit mAb</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100µl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32</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DYKDDDDK Tag (D6W5B) Rabbit mAb (Binds to same epitope as Sigma's</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100µl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33</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GAPDH (D16H11) XP? Rabbit mAb</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100μl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34</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STING (D2P2F) Rabbit mAb</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100μl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35</w:t>
            </w:r>
          </w:p>
        </w:tc>
        <w:tc>
          <w:tcPr>
            <w:tcW w:w="4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Ubiquitin (P4D1) Mouse mAb (HRP Conjugate)</w:t>
            </w:r>
          </w:p>
        </w:tc>
        <w:tc>
          <w:tcPr>
            <w:tcW w:w="2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100µl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36</w:t>
            </w:r>
          </w:p>
        </w:tc>
        <w:tc>
          <w:tcPr>
            <w:tcW w:w="495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Myc-Tag (9B11) Mouse mAb </w:t>
            </w:r>
          </w:p>
        </w:tc>
        <w:tc>
          <w:tcPr>
            <w:tcW w:w="210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100µl</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37</w:t>
            </w:r>
          </w:p>
        </w:tc>
        <w:tc>
          <w:tcPr>
            <w:tcW w:w="4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小鼠ksp-Saa2基因mir30 shRNA AAV9</w:t>
            </w:r>
          </w:p>
        </w:tc>
        <w:tc>
          <w:tcPr>
            <w:tcW w:w="21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c>
          <w:tcPr>
            <w:tcW w:w="735"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38</w:t>
            </w:r>
          </w:p>
        </w:tc>
        <w:tc>
          <w:tcPr>
            <w:tcW w:w="49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小鼠nphs1-parp1基因mir30 shRNA AAV9</w:t>
            </w:r>
          </w:p>
        </w:tc>
        <w:tc>
          <w:tcPr>
            <w:tcW w:w="21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1ml</w:t>
            </w:r>
          </w:p>
        </w:tc>
        <w:tc>
          <w:tcPr>
            <w:tcW w:w="735"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39</w:t>
            </w:r>
          </w:p>
        </w:tc>
        <w:tc>
          <w:tcPr>
            <w:tcW w:w="49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Homo-GLUT4(67-HA-68) in PCDNA3.1载体构建服务</w:t>
            </w:r>
          </w:p>
        </w:tc>
        <w:tc>
          <w:tcPr>
            <w:tcW w:w="21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100ug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40</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人 MYC (NM_002467) pcDNA3.1质粒</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41</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SNRPA1-homo siRNA</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42</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MYC-homo siRNA</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43</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Homo-SNRPA1(NM_003090.4)-C-HA in PCDNA3.1载体构建服务</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50ug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44</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Parp1-mus siRNA</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2od</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45</w:t>
            </w:r>
          </w:p>
        </w:tc>
        <w:tc>
          <w:tcPr>
            <w:tcW w:w="4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标准级胎牛血清</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500ml</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瓶</w:t>
            </w:r>
          </w:p>
        </w:tc>
      </w:tr>
    </w:tbl>
    <w:p>
      <w:pPr>
        <w:ind w:left="0" w:leftChars="0" w:firstLine="0" w:firstLineChars="0"/>
        <w:rPr>
          <w:rFonts w:ascii="仿宋" w:hAnsi="仿宋" w:cs="仿宋"/>
          <w:b/>
          <w:bCs/>
        </w:rPr>
      </w:pPr>
      <w:r>
        <w:rPr>
          <w:rFonts w:hint="eastAsia" w:ascii="仿宋" w:hAnsi="仿宋" w:cs="仿宋"/>
          <w:b/>
          <w:bCs/>
        </w:rPr>
        <w:t>售后服务保障</w:t>
      </w:r>
    </w:p>
    <w:p>
      <w:pPr>
        <w:ind w:firstLine="480"/>
        <w:rPr>
          <w:rFonts w:ascii="仿宋" w:hAnsi="仿宋" w:cs="仿宋"/>
        </w:rPr>
      </w:pPr>
      <w:r>
        <w:rPr>
          <w:rFonts w:hint="eastAsia" w:ascii="仿宋" w:hAnsi="仿宋" w:cs="仿宋"/>
        </w:rPr>
        <w:t>1、随机附带快速操作流程（纸质压膜）2套。</w:t>
      </w:r>
    </w:p>
    <w:p>
      <w:pPr>
        <w:pStyle w:val="2"/>
        <w:ind w:left="0" w:leftChars="0" w:firstLine="480"/>
        <w:rPr>
          <w:rFonts w:ascii="仿宋" w:hAnsi="仿宋" w:cs="仿宋"/>
        </w:rPr>
      </w:pPr>
      <w:r>
        <w:rPr>
          <w:rFonts w:hint="eastAsia" w:ascii="仿宋" w:hAnsi="仿宋" w:cs="仿宋"/>
          <w:szCs w:val="24"/>
        </w:rPr>
        <w:t>2、交货期：自行填写（</w:t>
      </w:r>
      <w:r>
        <w:rPr>
          <w:rFonts w:hint="eastAsia" w:ascii="仿宋" w:hAnsi="仿宋" w:cs="仿宋"/>
          <w:szCs w:val="24"/>
          <w:lang w:eastAsia="zh-CN"/>
        </w:rPr>
        <w:t>须填写具体日期</w:t>
      </w:r>
      <w:bookmarkStart w:id="7" w:name="_GoBack"/>
      <w:bookmarkEnd w:id="7"/>
      <w:r>
        <w:rPr>
          <w:rFonts w:hint="eastAsia" w:ascii="仿宋" w:hAnsi="仿宋" w:cs="仿宋"/>
          <w:szCs w:val="24"/>
        </w:rPr>
        <w:t>）。</w:t>
      </w:r>
    </w:p>
    <w:p>
      <w:pPr>
        <w:ind w:firstLine="480"/>
        <w:rPr>
          <w:rFonts w:ascii="仿宋" w:hAnsi="仿宋" w:cs="仿宋"/>
        </w:rPr>
      </w:pPr>
      <w:r>
        <w:rPr>
          <w:rFonts w:hint="eastAsia" w:ascii="仿宋" w:hAnsi="仿宋" w:cs="仿宋"/>
        </w:rPr>
        <w:t>3、交货地点：严格按照国家相关要求的运输方式送到用户指定地点。</w:t>
      </w:r>
    </w:p>
    <w:p>
      <w:pPr>
        <w:pStyle w:val="2"/>
        <w:widowControl/>
        <w:ind w:left="0" w:leftChars="0" w:firstLine="480"/>
        <w:rPr>
          <w:rFonts w:ascii="仿宋" w:hAnsi="仿宋" w:cs="仿宋"/>
          <w:szCs w:val="24"/>
        </w:rPr>
      </w:pPr>
      <w:r>
        <w:rPr>
          <w:rFonts w:hint="eastAsia" w:ascii="仿宋" w:hAnsi="仿宋" w:cs="仿宋"/>
          <w:szCs w:val="24"/>
        </w:rPr>
        <w:t>4、质量保证期：到货后验收发现外箱破损或受潮、污染的，供应商须免费更换此产品。如产品出现问题用户通知卖方后应在24小时内答复，并尽快解决问题。</w:t>
      </w:r>
    </w:p>
    <w:p>
      <w:pPr>
        <w:pStyle w:val="2"/>
        <w:widowControl/>
        <w:ind w:left="0" w:leftChars="0" w:firstLine="480"/>
        <w:rPr>
          <w:rFonts w:ascii="仿宋" w:hAnsi="仿宋" w:cs="仿宋"/>
          <w:szCs w:val="24"/>
        </w:rPr>
      </w:pPr>
      <w:r>
        <w:rPr>
          <w:rFonts w:hint="eastAsia" w:ascii="仿宋" w:hAnsi="仿宋" w:cs="仿宋"/>
          <w:szCs w:val="24"/>
        </w:rPr>
        <w:t>5、供货地点：所有产品的供货、安装地点均由用户指定。</w:t>
      </w:r>
    </w:p>
    <w:p>
      <w:pPr>
        <w:pStyle w:val="2"/>
        <w:widowControl/>
        <w:ind w:left="0" w:leftChars="0" w:firstLine="480"/>
        <w:rPr>
          <w:rFonts w:ascii="仿宋" w:hAnsi="仿宋" w:cs="仿宋"/>
        </w:rPr>
      </w:pPr>
      <w:r>
        <w:rPr>
          <w:rFonts w:hint="eastAsia" w:ascii="仿宋" w:hAnsi="仿宋" w:cs="仿宋"/>
          <w:szCs w:val="24"/>
        </w:rPr>
        <w:t>6、报价需逐条报价，不得有空项。</w:t>
      </w:r>
    </w:p>
    <w:p>
      <w:pPr>
        <w:pStyle w:val="2"/>
        <w:ind w:left="0" w:leftChars="0" w:firstLine="480"/>
        <w:rPr>
          <w:rFonts w:ascii="仿宋" w:hAnsi="仿宋" w:cs="仿宋"/>
        </w:rPr>
      </w:pPr>
      <w:r>
        <w:rPr>
          <w:rFonts w:hint="eastAsia" w:ascii="仿宋" w:hAnsi="仿宋" w:cs="仿宋"/>
        </w:rPr>
        <w:t>7、付款方式：</w:t>
      </w:r>
    </w:p>
    <w:p>
      <w:pPr>
        <w:pStyle w:val="2"/>
        <w:ind w:left="0" w:leftChars="0" w:firstLine="480"/>
        <w:rPr>
          <w:rFonts w:ascii="宋体" w:hAnsi="宋体" w:cs="宋体"/>
        </w:rPr>
      </w:pPr>
      <w:r>
        <w:rPr>
          <w:rFonts w:hint="eastAsia" w:ascii="宋体" w:hAnsi="宋体" w:cs="宋体"/>
        </w:rPr>
        <w:t>中标后合同签订前中标人向采购人指定账户缴纳合同金额5%的履约保证金。在合同签订生效且具备实施条件后，中标人向项目负责人或指定人申请合同金额70%的预付款，采购人确定后7个工作日内支付。货物验收合格、审计定案（若需要）后7个工作日内，支付剩余合同货款。</w:t>
      </w:r>
    </w:p>
    <w:p>
      <w:pPr>
        <w:pStyle w:val="2"/>
        <w:ind w:left="0" w:leftChars="0" w:firstLine="480"/>
        <w:rPr>
          <w:rFonts w:ascii="仿宋" w:hAnsi="仿宋" w:cs="仿宋"/>
        </w:rPr>
      </w:pPr>
      <w:r>
        <w:rPr>
          <w:rFonts w:hint="eastAsia" w:ascii="仿宋" w:hAnsi="仿宋" w:cs="仿宋"/>
        </w:rPr>
        <w:t>8、1）履约保证金提交形式：电汇形式、银行汇票、履约保函</w:t>
      </w:r>
    </w:p>
    <w:p>
      <w:pPr>
        <w:ind w:firstLine="480"/>
        <w:rPr>
          <w:rFonts w:ascii="仿宋" w:hAnsi="仿宋" w:cs="仿宋"/>
        </w:rPr>
      </w:pPr>
      <w:r>
        <w:rPr>
          <w:rFonts w:hint="eastAsia" w:ascii="仿宋" w:hAnsi="仿宋" w:cs="仿宋"/>
        </w:rPr>
        <w:t>履约保证金在验收合格后满一年届满，没有任何质量问题，由中标人向采购人提交申请，采购人根据履约情况无息退还给中标人。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
        <w:ind w:left="0" w:leftChars="0" w:firstLine="480"/>
        <w:rPr>
          <w:rFonts w:ascii="仿宋" w:hAnsi="仿宋" w:cs="仿宋"/>
        </w:rPr>
      </w:pPr>
      <w:r>
        <w:rPr>
          <w:rFonts w:hint="eastAsia" w:ascii="仿宋" w:hAnsi="仿宋" w:cs="仿宋"/>
        </w:rPr>
        <w:t>3）增值税发票开具信息：</w:t>
      </w:r>
    </w:p>
    <w:p>
      <w:pPr>
        <w:pStyle w:val="2"/>
        <w:ind w:left="0" w:leftChars="0" w:firstLine="480"/>
        <w:rPr>
          <w:rFonts w:ascii="仿宋" w:hAnsi="仿宋" w:cs="仿宋"/>
        </w:rPr>
      </w:pPr>
      <w:r>
        <w:rPr>
          <w:rFonts w:hint="eastAsia" w:ascii="仿宋" w:hAnsi="仿宋" w:cs="仿宋"/>
        </w:rPr>
        <w:t>名  称：山东第一医科大学 </w:t>
      </w:r>
    </w:p>
    <w:p>
      <w:pPr>
        <w:pStyle w:val="2"/>
        <w:ind w:left="0" w:leftChars="0" w:firstLine="480"/>
        <w:rPr>
          <w:rFonts w:ascii="仿宋" w:hAnsi="仿宋" w:cs="仿宋"/>
        </w:rPr>
      </w:pPr>
      <w:r>
        <w:rPr>
          <w:rFonts w:hint="eastAsia" w:ascii="仿宋" w:hAnsi="仿宋" w:cs="仿宋"/>
        </w:rPr>
        <w:t>识别号：12370000MB2865235G</w:t>
      </w:r>
    </w:p>
    <w:p>
      <w:pPr>
        <w:pStyle w:val="2"/>
        <w:ind w:left="0" w:leftChars="0" w:firstLine="480"/>
        <w:rPr>
          <w:rFonts w:ascii="仿宋" w:hAnsi="仿宋" w:cs="仿宋"/>
        </w:rPr>
      </w:pPr>
      <w:r>
        <w:rPr>
          <w:rFonts w:hint="eastAsia" w:ascii="仿宋" w:hAnsi="仿宋" w:cs="仿宋"/>
        </w:rPr>
        <w:t>地  址：济南市槐荫区青岛路6699号</w:t>
      </w:r>
    </w:p>
    <w:p>
      <w:pPr>
        <w:pStyle w:val="2"/>
        <w:ind w:left="0" w:leftChars="0" w:firstLine="480"/>
        <w:rPr>
          <w:rFonts w:ascii="仿宋" w:hAnsi="仿宋" w:cs="仿宋"/>
        </w:rPr>
      </w:pPr>
      <w:r>
        <w:rPr>
          <w:rFonts w:hint="eastAsia" w:ascii="仿宋" w:hAnsi="仿宋" w:cs="仿宋"/>
        </w:rPr>
        <w:t>电  话：0538-6229987</w:t>
      </w:r>
    </w:p>
    <w:p>
      <w:pPr>
        <w:pStyle w:val="2"/>
        <w:ind w:left="0" w:leftChars="0" w:firstLine="480"/>
        <w:rPr>
          <w:rFonts w:ascii="仿宋" w:hAnsi="仿宋" w:cs="仿宋"/>
        </w:rPr>
      </w:pPr>
      <w:r>
        <w:rPr>
          <w:rFonts w:hint="eastAsia" w:ascii="仿宋" w:hAnsi="仿宋" w:cs="仿宋"/>
        </w:rPr>
        <w:t>账户名称：山东第一医科大学</w:t>
      </w:r>
    </w:p>
    <w:p>
      <w:pPr>
        <w:pStyle w:val="2"/>
        <w:ind w:left="0" w:leftChars="0" w:firstLine="480"/>
        <w:rPr>
          <w:rFonts w:ascii="仿宋" w:hAnsi="仿宋" w:cs="仿宋"/>
        </w:rPr>
      </w:pPr>
      <w:r>
        <w:rPr>
          <w:rFonts w:hint="eastAsia" w:ascii="仿宋" w:hAnsi="仿宋" w:cs="仿宋"/>
        </w:rPr>
        <w:t>账  号：15518501040000160</w:t>
      </w:r>
    </w:p>
    <w:p>
      <w:pPr>
        <w:pStyle w:val="2"/>
        <w:ind w:left="0" w:leftChars="0" w:firstLine="480"/>
        <w:rPr>
          <w:rFonts w:ascii="仿宋" w:hAnsi="仿宋" w:cs="仿宋"/>
        </w:rPr>
      </w:pPr>
      <w:r>
        <w:rPr>
          <w:rFonts w:hint="eastAsia" w:ascii="仿宋" w:hAnsi="仿宋" w:cs="仿宋"/>
        </w:rPr>
        <w:t>开户行：中国农业银行股份有限公司泰安旅游开发区分理处</w:t>
      </w:r>
    </w:p>
    <w:p>
      <w:pPr>
        <w:pStyle w:val="2"/>
        <w:ind w:left="0" w:leftChars="0"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rPr>
        <w:t>9、若有其他优惠请自报。</w:t>
      </w:r>
    </w:p>
    <w:p>
      <w:pPr>
        <w:pStyle w:val="2"/>
        <w:ind w:left="480" w:firstLine="480"/>
      </w:pP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0000000000000000000"/>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14</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left"/>
      <w:rPr>
        <w:rFonts w:hint="eastAsia" w:eastAsia="仿宋"/>
        <w:lang w:eastAsia="zh-CN"/>
      </w:rPr>
    </w:pPr>
    <w:r>
      <w:rPr>
        <w:rFonts w:hint="eastAsia"/>
      </w:rPr>
      <w:t>山东第一医科大学（山东省医学科学院）</w:t>
    </w:r>
    <w:r>
      <w:rPr>
        <w:rFonts w:hint="eastAsia"/>
        <w:lang w:eastAsia="zh-CN"/>
      </w:rPr>
      <w:t>科教融合慢性肾脏病进展风险与防治的研究试剂耗材购置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26AF6"/>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D21F3"/>
    <w:rsid w:val="008E07AD"/>
    <w:rsid w:val="008E3F32"/>
    <w:rsid w:val="008E46E3"/>
    <w:rsid w:val="008E7341"/>
    <w:rsid w:val="008E7D3D"/>
    <w:rsid w:val="008F3009"/>
    <w:rsid w:val="008F5960"/>
    <w:rsid w:val="009112DA"/>
    <w:rsid w:val="00922698"/>
    <w:rsid w:val="00922C28"/>
    <w:rsid w:val="00926E86"/>
    <w:rsid w:val="0094027D"/>
    <w:rsid w:val="00946C7B"/>
    <w:rsid w:val="0095118C"/>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75637DD"/>
    <w:rsid w:val="082E0105"/>
    <w:rsid w:val="09063A89"/>
    <w:rsid w:val="0AFF04D5"/>
    <w:rsid w:val="0B536D2E"/>
    <w:rsid w:val="0E753EF5"/>
    <w:rsid w:val="1491260A"/>
    <w:rsid w:val="152627CF"/>
    <w:rsid w:val="15A32D0F"/>
    <w:rsid w:val="216B7C05"/>
    <w:rsid w:val="273B08EE"/>
    <w:rsid w:val="29286B8A"/>
    <w:rsid w:val="2E6E4C8A"/>
    <w:rsid w:val="30926B16"/>
    <w:rsid w:val="31537385"/>
    <w:rsid w:val="31832300"/>
    <w:rsid w:val="34A75871"/>
    <w:rsid w:val="36301896"/>
    <w:rsid w:val="36E342CE"/>
    <w:rsid w:val="402C195C"/>
    <w:rsid w:val="40752FE6"/>
    <w:rsid w:val="40D73BA8"/>
    <w:rsid w:val="487773F6"/>
    <w:rsid w:val="48C2104D"/>
    <w:rsid w:val="4A3566E9"/>
    <w:rsid w:val="4E5C73E5"/>
    <w:rsid w:val="4F0C0C9A"/>
    <w:rsid w:val="4F934F18"/>
    <w:rsid w:val="4F9B00EC"/>
    <w:rsid w:val="51E101BC"/>
    <w:rsid w:val="53286B94"/>
    <w:rsid w:val="56367682"/>
    <w:rsid w:val="59611BE3"/>
    <w:rsid w:val="622B2D11"/>
    <w:rsid w:val="6736296E"/>
    <w:rsid w:val="6B8777B9"/>
    <w:rsid w:val="6D4C646B"/>
    <w:rsid w:val="6E0244A6"/>
    <w:rsid w:val="71686BB4"/>
    <w:rsid w:val="71FE012C"/>
    <w:rsid w:val="75390472"/>
    <w:rsid w:val="75BB6235"/>
    <w:rsid w:val="78B73A67"/>
    <w:rsid w:val="7C821E87"/>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4"/>
    <w:semiHidden/>
    <w:unhideWhenUsed/>
    <w:qFormat/>
    <w:uiPriority w:val="99"/>
    <w:pPr>
      <w:spacing w:after="120"/>
    </w:pPr>
    <w:rPr>
      <w:sz w:val="16"/>
      <w:szCs w:val="16"/>
    </w:rPr>
  </w:style>
  <w:style w:type="paragraph" w:styleId="12">
    <w:name w:val="Body Text"/>
    <w:basedOn w:val="1"/>
    <w:next w:val="1"/>
    <w:qFormat/>
    <w:uiPriority w:val="0"/>
    <w:pPr>
      <w:spacing w:after="120"/>
    </w:pPr>
  </w:style>
  <w:style w:type="paragraph" w:styleId="13">
    <w:name w:val="Plain Text"/>
    <w:basedOn w:val="1"/>
    <w:link w:val="35"/>
    <w:qFormat/>
    <w:uiPriority w:val="0"/>
    <w:rPr>
      <w:rFonts w:ascii="宋体" w:hAnsi="Courier New" w:eastAsia="宋体"/>
      <w:sz w:val="21"/>
    </w:rPr>
  </w:style>
  <w:style w:type="paragraph" w:styleId="14">
    <w:name w:val="Balloon Text"/>
    <w:basedOn w:val="1"/>
    <w:link w:val="44"/>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6"/>
    <w:qFormat/>
    <w:uiPriority w:val="99"/>
    <w:rPr>
      <w:sz w:val="18"/>
      <w:szCs w:val="18"/>
    </w:rPr>
  </w:style>
  <w:style w:type="character" w:customStyle="1" w:styleId="26">
    <w:name w:val="页脚 Char"/>
    <w:basedOn w:val="22"/>
    <w:link w:val="15"/>
    <w:qFormat/>
    <w:uiPriority w:val="99"/>
    <w:rPr>
      <w:sz w:val="18"/>
      <w:szCs w:val="18"/>
    </w:rPr>
  </w:style>
  <w:style w:type="character" w:customStyle="1" w:styleId="27">
    <w:name w:val="正文文本缩进 Char"/>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Char"/>
    <w:basedOn w:val="22"/>
    <w:link w:val="7"/>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1">
    <w:name w:val="标题 2 Char"/>
    <w:basedOn w:val="22"/>
    <w:link w:val="6"/>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Char"/>
    <w:basedOn w:val="22"/>
    <w:link w:val="5"/>
    <w:qFormat/>
    <w:uiPriority w:val="9"/>
    <w:rPr>
      <w:rFonts w:ascii="Calibri" w:hAnsi="Calibri" w:eastAsia="仿宋" w:cs="Times New Roman"/>
      <w:b/>
      <w:bCs/>
      <w:kern w:val="44"/>
      <w:sz w:val="44"/>
      <w:szCs w:val="44"/>
    </w:rPr>
  </w:style>
  <w:style w:type="character" w:customStyle="1" w:styleId="34">
    <w:name w:val="正文文本 3 Char"/>
    <w:basedOn w:val="22"/>
    <w:link w:val="11"/>
    <w:semiHidden/>
    <w:qFormat/>
    <w:uiPriority w:val="99"/>
    <w:rPr>
      <w:rFonts w:ascii="Calibri" w:hAnsi="Calibri" w:eastAsia="仿宋" w:cs="Times New Roman"/>
      <w:sz w:val="16"/>
      <w:szCs w:val="16"/>
    </w:rPr>
  </w:style>
  <w:style w:type="character" w:customStyle="1" w:styleId="35">
    <w:name w:val="纯文本 Char1"/>
    <w:link w:val="13"/>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Char"/>
    <w:link w:val="10"/>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43">
    <w:name w:val="批注主题 Char"/>
    <w:basedOn w:val="40"/>
    <w:link w:val="20"/>
    <w:semiHidden/>
    <w:qFormat/>
    <w:uiPriority w:val="99"/>
    <w:rPr>
      <w:rFonts w:ascii="Calibri" w:hAnsi="Calibri" w:eastAsia="仿宋" w:cs="Times New Roman"/>
      <w:b/>
      <w:bCs/>
      <w:sz w:val="24"/>
      <w:szCs w:val="20"/>
    </w:rPr>
  </w:style>
  <w:style w:type="character" w:customStyle="1" w:styleId="44">
    <w:name w:val="批注框文本 Char"/>
    <w:basedOn w:val="22"/>
    <w:link w:val="14"/>
    <w:semiHidden/>
    <w:qFormat/>
    <w:uiPriority w:val="99"/>
    <w:rPr>
      <w:rFonts w:ascii="Calibri" w:hAnsi="Calibri" w:eastAsia="仿宋" w:cs="Times New Roman"/>
      <w:sz w:val="18"/>
      <w:szCs w:val="18"/>
    </w:rPr>
  </w:style>
  <w:style w:type="paragraph" w:styleId="45">
    <w:name w:val="List Paragraph"/>
    <w:basedOn w:val="1"/>
    <w:qFormat/>
    <w:uiPriority w:val="99"/>
    <w:pPr>
      <w:ind w:firstLine="42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31"/>
    <w:basedOn w:val="22"/>
    <w:qFormat/>
    <w:uiPriority w:val="0"/>
    <w:rPr>
      <w:rFonts w:hint="eastAsia" w:ascii="宋体" w:hAnsi="宋体" w:eastAsia="宋体" w:cs="宋体"/>
      <w:color w:val="000000"/>
      <w:sz w:val="22"/>
      <w:szCs w:val="22"/>
      <w:u w:val="none"/>
    </w:rPr>
  </w:style>
  <w:style w:type="character" w:customStyle="1" w:styleId="53">
    <w:name w:val="font41"/>
    <w:basedOn w:val="22"/>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C3D78-BE65-4B93-9526-20AC17E9CD7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8673</Words>
  <Characters>11641</Characters>
  <Lines>72</Lines>
  <Paragraphs>20</Paragraphs>
  <TotalTime>14</TotalTime>
  <ScaleCrop>false</ScaleCrop>
  <LinksUpToDate>false</LinksUpToDate>
  <CharactersWithSpaces>11916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2023-06-20T01:29:50Z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DA80F96F35F5414AB4B1E3BE5565E172</vt:lpwstr>
  </property>
</Properties>
</file>