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山东省医学科学院教学用实验动物及动物实验平台耗材采购</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SDGP370000000202602005966</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山东省医学科学院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山东俊艺丰项目管理有限公司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山东俊艺丰项目管理有限公司</w:t>
      </w:r>
      <w:r>
        <w:rPr>
          <w:rFonts w:ascii="仿宋_GB2312" w:hAnsi="仿宋_GB2312" w:cs="仿宋_GB2312" w:eastAsia="仿宋_GB2312"/>
        </w:rPr>
        <w:t>（以下简称“代理机构”）受</w:t>
      </w:r>
      <w:r>
        <w:rPr>
          <w:rFonts w:ascii="仿宋_GB2312" w:hAnsi="仿宋_GB2312" w:cs="仿宋_GB2312" w:eastAsia="仿宋_GB2312"/>
        </w:rPr>
        <w:t>山东省医学科学院</w:t>
      </w:r>
      <w:r>
        <w:rPr>
          <w:rFonts w:ascii="仿宋_GB2312" w:hAnsi="仿宋_GB2312" w:cs="仿宋_GB2312" w:eastAsia="仿宋_GB2312"/>
        </w:rPr>
        <w:t>（以下简称“采购人”）委托，对</w:t>
      </w:r>
      <w:r>
        <w:rPr>
          <w:rFonts w:ascii="仿宋_GB2312" w:hAnsi="仿宋_GB2312" w:cs="仿宋_GB2312" w:eastAsia="仿宋_GB2312"/>
        </w:rPr>
        <w:t>山东省医学科学院教学用实验动物及动物实验平台耗材采购</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SDGP370000000202602005966</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山东省医学科学院教学用实验动物及动物实验平台耗材采购</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本项目为山东省医学科学院教学用实验动物及动物实验平台耗材采购，共分为3个包，兼投不兼中。本项目将按采购包的顺序进行评审并确定成交供应商，每个供应商最多只能被确定为1个采购包的成交供应商。</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信用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3、供应商须具有依法缴纳税收和社会保障资金的良好记录，须提供信用承诺函或相关证明材料。如提供证明材料，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4、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5、具有履行合同所必需的设备和专业技术能力：供应商提供具有履行政府采购合同所必需的设备和专业技术能力的声明函，加盖公章。</w:t>
      </w:r>
    </w:p>
    <w:p>
      <w:pPr>
        <w:pStyle w:val="null5"/>
        <w:jc w:val="left"/>
      </w:pPr>
      <w:r>
        <w:rPr>
          <w:rFonts w:ascii="仿宋_GB2312" w:hAnsi="仿宋_GB2312" w:cs="仿宋_GB2312" w:eastAsia="仿宋_GB2312"/>
        </w:rPr>
        <w:t>6、单位负责人为同一人或者存在直接控股、管理关系的不同供应商，不得参加同一合同项下的采购活动：供应商须提供书面声明，加盖公章。</w:t>
      </w:r>
    </w:p>
    <w:p>
      <w:pPr>
        <w:pStyle w:val="null5"/>
        <w:jc w:val="left"/>
      </w:pPr>
      <w:r>
        <w:rPr>
          <w:rFonts w:ascii="仿宋_GB2312" w:hAnsi="仿宋_GB2312" w:cs="仿宋_GB2312" w:eastAsia="仿宋_GB2312"/>
        </w:rPr>
        <w:t>7、供应商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信用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3、供应商须具有依法缴纳税收和社会保障资金的良好记录，须提供信用承诺函或相关证明材料。如提供证明材料，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4、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5、具有履行合同所必需的设备和专业技术能力：供应商提供具有履行政府采购合同所必需的设备和专业技术能力的声明函，加盖公章。</w:t>
      </w:r>
    </w:p>
    <w:p>
      <w:pPr>
        <w:pStyle w:val="null5"/>
        <w:jc w:val="left"/>
      </w:pPr>
      <w:r>
        <w:rPr>
          <w:rFonts w:ascii="仿宋_GB2312" w:hAnsi="仿宋_GB2312" w:cs="仿宋_GB2312" w:eastAsia="仿宋_GB2312"/>
        </w:rPr>
        <w:t>6、单位负责人为同一人或者存在直接控股、管理关系的不同供应商，不得参加同一合同项下的采购活动：供应商须提供书面声明，加盖公章。</w:t>
      </w:r>
    </w:p>
    <w:p>
      <w:pPr>
        <w:pStyle w:val="null5"/>
        <w:jc w:val="left"/>
      </w:pPr>
      <w:r>
        <w:rPr>
          <w:rFonts w:ascii="仿宋_GB2312" w:hAnsi="仿宋_GB2312" w:cs="仿宋_GB2312" w:eastAsia="仿宋_GB2312"/>
        </w:rPr>
        <w:t>7、供应商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1、具有独立承担民事责任的能力：供应商是企业（包括合伙企业）的，应提供其在工商部门注册的有效“企业法人营业执照”或“营业执照”；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具有良好的商业信誉和健全的财务会计制度：供应商须具有良好的商业信誉和健全的财务会计制度，须提供信用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p>
      <w:pPr>
        <w:pStyle w:val="null5"/>
        <w:jc w:val="left"/>
      </w:pPr>
      <w:r>
        <w:rPr>
          <w:rFonts w:ascii="仿宋_GB2312" w:hAnsi="仿宋_GB2312" w:cs="仿宋_GB2312" w:eastAsia="仿宋_GB2312"/>
        </w:rPr>
        <w:t>3、供应商须具有依法缴纳税收和社会保障资金的良好记录，须提供信用承诺函或相关证明材料。如提供证明材料，则：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4、参加政府采购活动前三年内，在经营活动中没有重大违法记录。重大违法记录是指供应商因违法经营受到刑事处罚或者责令停产停业、吊销许可证或者执照、较大数额罚款等行政处罚：供应商须提供参加政府采购活动前三年内在经营活动中没有重大违法记录的书面声明，加盖公章。</w:t>
      </w:r>
    </w:p>
    <w:p>
      <w:pPr>
        <w:pStyle w:val="null5"/>
        <w:jc w:val="left"/>
      </w:pPr>
      <w:r>
        <w:rPr>
          <w:rFonts w:ascii="仿宋_GB2312" w:hAnsi="仿宋_GB2312" w:cs="仿宋_GB2312" w:eastAsia="仿宋_GB2312"/>
        </w:rPr>
        <w:t>5、具有履行合同所必需的设备和专业技术能力：供应商提供具有履行政府采购合同所必需的设备和专业技术能力的声明函，加盖公章。</w:t>
      </w:r>
    </w:p>
    <w:p>
      <w:pPr>
        <w:pStyle w:val="null5"/>
        <w:jc w:val="left"/>
      </w:pPr>
      <w:r>
        <w:rPr>
          <w:rFonts w:ascii="仿宋_GB2312" w:hAnsi="仿宋_GB2312" w:cs="仿宋_GB2312" w:eastAsia="仿宋_GB2312"/>
        </w:rPr>
        <w:t>6、单位负责人为同一人或者存在直接控股、管理关系的不同供应商，不得参加同一合同项下的采购活动：供应商须提供书面声明，加盖公章。</w:t>
      </w:r>
    </w:p>
    <w:p>
      <w:pPr>
        <w:pStyle w:val="null5"/>
        <w:jc w:val="left"/>
      </w:pPr>
      <w:r>
        <w:rPr>
          <w:rFonts w:ascii="仿宋_GB2312" w:hAnsi="仿宋_GB2312" w:cs="仿宋_GB2312" w:eastAsia="仿宋_GB2312"/>
        </w:rPr>
        <w:t>7、供应商无不良信用记录：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p>
      <w:pPr>
        <w:pStyle w:val="null5"/>
        <w:jc w:val="left"/>
      </w:pPr>
      <w:r>
        <w:rPr>
          <w:rFonts w:ascii="仿宋_GB2312" w:hAnsi="仿宋_GB2312" w:cs="仿宋_GB2312" w:eastAsia="仿宋_GB2312"/>
        </w:rPr>
        <w:t>8、符合法律、行政法规规定的其他条件：符合法律、行政法规规定的其他条件。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山东省医学科学院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济南市历下区经十路18877号9号楼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0531-82919873</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山东俊艺丰项目管理有限公司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济南市历下区⽂东街道环⼭路55号中润裕华园11号院</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英晓静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0531-66721006、15666966611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采购包1：382,740.00元</w:t>
            </w:r>
          </w:p>
          <w:p>
            <w:pPr>
              <w:pStyle w:val="null5"/>
              <w:jc w:val="left"/>
            </w:pPr>
            <w:r>
              <w:rPr>
                <w:rFonts w:ascii="仿宋_GB2312" w:hAnsi="仿宋_GB2312" w:cs="仿宋_GB2312" w:eastAsia="仿宋_GB2312"/>
              </w:rPr>
              <w:t>采购包2：107,600.00元</w:t>
            </w:r>
          </w:p>
          <w:p>
            <w:pPr>
              <w:pStyle w:val="null5"/>
              <w:jc w:val="left"/>
            </w:pPr>
            <w:r>
              <w:rPr>
                <w:rFonts w:ascii="仿宋_GB2312" w:hAnsi="仿宋_GB2312" w:cs="仿宋_GB2312" w:eastAsia="仿宋_GB2312"/>
              </w:rPr>
              <w:t>采购包3：617,260.00元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户名：山东省医学科学院；开户行：中国农业银行股份有限公司济南大舜支行；开户账号：15126801040005266。 2.履约保证⾦形式：电汇形式、银⾏汇票（供应商应在投标⽂件中明确具体递交形式）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p>
            <w:pPr>
              <w:pStyle w:val="null5"/>
              <w:jc w:val="left"/>
            </w:pPr>
            <w:r>
              <w:rPr>
                <w:rFonts w:ascii="仿宋_GB2312" w:hAnsi="仿宋_GB2312" w:cs="仿宋_GB2312" w:eastAsia="仿宋_GB2312"/>
              </w:rPr>
              <w:t>采购包2：缴纳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户名：山东省医学科学院；开户行：中国农业银行股份有限公司济南大舜支行；开户账号：15126801040005266。 2.履约保证⾦形式：电汇形式、银⾏汇票（供应商应在投标⽂件中明确具体递交形式）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p>
            <w:pPr>
              <w:pStyle w:val="null5"/>
              <w:jc w:val="left"/>
            </w:pPr>
            <w:r>
              <w:rPr>
                <w:rFonts w:ascii="仿宋_GB2312" w:hAnsi="仿宋_GB2312" w:cs="仿宋_GB2312" w:eastAsia="仿宋_GB2312"/>
              </w:rPr>
              <w:t>采购包3：缴纳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说明：1.⾃成交公告发布之⽇起3个⼯作⽇内成交供应商向采购⼈指定账⼾缴纳履约保证⾦（若成交供应商提供了符合要求的《中小企业声明函》，履约保证金为合同金额的2%）。缴纳账⼾信息如下： 户名：山东省医学科学院；开户行：中国农业银行股份有限公司济南大舜支行；开户账号：15126801040005266。2.履约保证⾦形式：电汇形式、银⾏汇票（供应商应在投标⽂件中明确具体递交形式）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90日历天</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代理服务费收费标准：成交金额的1.05%</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p>
            <w:pPr>
              <w:pStyle w:val="null5"/>
              <w:jc w:val="left"/>
            </w:pPr>
            <w:r>
              <w:rPr>
                <w:rFonts w:ascii="仿宋_GB2312" w:hAnsi="仿宋_GB2312" w:cs="仿宋_GB2312" w:eastAsia="仿宋_GB2312"/>
              </w:rPr>
              <w:t>采购包3：不组织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山东省医学科学院</w:t>
      </w:r>
      <w:r>
        <w:rPr>
          <w:rFonts w:ascii="仿宋_GB2312" w:hAnsi="仿宋_GB2312" w:cs="仿宋_GB2312" w:eastAsia="仿宋_GB2312"/>
        </w:rPr>
        <w:t xml:space="preserve"> 和 </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山东省医学科学院</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山东俊艺丰项目管理有限公司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jc w:val="left"/>
      </w:pPr>
      <w:r>
        <w:rPr>
          <w:rFonts w:ascii="仿宋_GB2312" w:hAnsi="仿宋_GB2312" w:cs="仿宋_GB2312" w:eastAsia="仿宋_GB2312"/>
        </w:rPr>
        <w:t>采购包3：不允许分包；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jc w:val="left"/>
      </w:pPr>
      <w:r>
        <w:rPr>
          <w:rFonts w:ascii="仿宋_GB2312" w:hAnsi="仿宋_GB2312" w:cs="仿宋_GB2312" w:eastAsia="仿宋_GB2312"/>
        </w:rPr>
        <w:t>采购包3：自行验收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jc w:val="left"/>
      </w:pPr>
      <w:r>
        <w:rPr>
          <w:rFonts w:ascii="仿宋_GB2312" w:hAnsi="仿宋_GB2312" w:cs="仿宋_GB2312" w:eastAsia="仿宋_GB2312"/>
        </w:rPr>
        <w:t>采购包3：一次性验收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采购包2：</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采购包3：</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按采购文件及合同要求</w:t>
      </w:r>
    </w:p>
    <w:p>
      <w:pPr>
        <w:pStyle w:val="null5"/>
      </w:pPr>
      <w:r>
        <w:rPr>
          <w:rFonts w:ascii="仿宋_GB2312" w:hAnsi="仿宋_GB2312" w:cs="仿宋_GB2312" w:eastAsia="仿宋_GB2312"/>
        </w:rPr>
        <w:t>采购包2：</w:t>
      </w:r>
      <w:r>
        <w:rPr>
          <w:rFonts w:ascii="仿宋_GB2312" w:hAnsi="仿宋_GB2312" w:cs="仿宋_GB2312" w:eastAsia="仿宋_GB2312"/>
        </w:rPr>
        <w:t>按采购文件及合同要求</w:t>
      </w:r>
    </w:p>
    <w:p>
      <w:pPr>
        <w:pStyle w:val="null5"/>
      </w:pPr>
      <w:r>
        <w:rPr>
          <w:rFonts w:ascii="仿宋_GB2312" w:hAnsi="仿宋_GB2312" w:cs="仿宋_GB2312" w:eastAsia="仿宋_GB2312"/>
        </w:rPr>
        <w:t>采购包3：</w:t>
      </w:r>
      <w:r>
        <w:rPr>
          <w:rFonts w:ascii="仿宋_GB2312" w:hAnsi="仿宋_GB2312" w:cs="仿宋_GB2312" w:eastAsia="仿宋_GB2312"/>
        </w:rPr>
        <w:t>按采购文件及合同要求</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按照招标文件规定的技术要求、商务标准、质量标准等进行逐条验收。</w:t>
      </w:r>
    </w:p>
    <w:p>
      <w:pPr>
        <w:pStyle w:val="null5"/>
      </w:pPr>
      <w:r>
        <w:rPr>
          <w:rFonts w:ascii="仿宋_GB2312" w:hAnsi="仿宋_GB2312" w:cs="仿宋_GB2312" w:eastAsia="仿宋_GB2312"/>
        </w:rPr>
        <w:t>采购包2：</w:t>
      </w:r>
      <w:r>
        <w:rPr>
          <w:rFonts w:ascii="仿宋_GB2312" w:hAnsi="仿宋_GB2312" w:cs="仿宋_GB2312" w:eastAsia="仿宋_GB2312"/>
        </w:rPr>
        <w:t>按照招标文件规定的技术要求、商务标准、质量标准等进行逐条验收。</w:t>
      </w:r>
    </w:p>
    <w:p>
      <w:pPr>
        <w:pStyle w:val="null5"/>
      </w:pPr>
      <w:r>
        <w:rPr>
          <w:rFonts w:ascii="仿宋_GB2312" w:hAnsi="仿宋_GB2312" w:cs="仿宋_GB2312" w:eastAsia="仿宋_GB2312"/>
        </w:rPr>
        <w:t>采购包3：</w:t>
      </w:r>
      <w:r>
        <w:rPr>
          <w:rFonts w:ascii="仿宋_GB2312" w:hAnsi="仿宋_GB2312" w:cs="仿宋_GB2312" w:eastAsia="仿宋_GB2312"/>
        </w:rPr>
        <w:t>按照招标文件规定的技术要求、商务标准、质量标准等进行逐条验收。</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按照招标文件规定的技术要求、商务标准、质量标准等进行逐条验收。</w:t>
      </w:r>
    </w:p>
    <w:p>
      <w:pPr>
        <w:pStyle w:val="null5"/>
      </w:pPr>
      <w:r>
        <w:rPr>
          <w:rFonts w:ascii="仿宋_GB2312" w:hAnsi="仿宋_GB2312" w:cs="仿宋_GB2312" w:eastAsia="仿宋_GB2312"/>
        </w:rPr>
        <w:t>采购包2：</w:t>
      </w:r>
      <w:r>
        <w:rPr>
          <w:rFonts w:ascii="仿宋_GB2312" w:hAnsi="仿宋_GB2312" w:cs="仿宋_GB2312" w:eastAsia="仿宋_GB2312"/>
        </w:rPr>
        <w:t>按照招标文件规定的技术要求、商务标准、质量标准等进行逐条验收。</w:t>
      </w:r>
    </w:p>
    <w:p>
      <w:pPr>
        <w:pStyle w:val="null5"/>
      </w:pPr>
      <w:r>
        <w:rPr>
          <w:rFonts w:ascii="仿宋_GB2312" w:hAnsi="仿宋_GB2312" w:cs="仿宋_GB2312" w:eastAsia="仿宋_GB2312"/>
        </w:rPr>
        <w:t>采购包3：</w:t>
      </w:r>
      <w:r>
        <w:rPr>
          <w:rFonts w:ascii="仿宋_GB2312" w:hAnsi="仿宋_GB2312" w:cs="仿宋_GB2312" w:eastAsia="仿宋_GB2312"/>
        </w:rPr>
        <w:t>按照招标文件规定的技术要求、商务标准、质量标准等进行逐条验收。</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依据招标文件的技术、商务要求和国家有关质量标准进行现场验收。</w:t>
      </w:r>
    </w:p>
    <w:p>
      <w:pPr>
        <w:pStyle w:val="null5"/>
      </w:pPr>
      <w:r>
        <w:rPr>
          <w:rFonts w:ascii="仿宋_GB2312" w:hAnsi="仿宋_GB2312" w:cs="仿宋_GB2312" w:eastAsia="仿宋_GB2312"/>
        </w:rPr>
        <w:t>采购包2：</w:t>
      </w:r>
      <w:r>
        <w:rPr>
          <w:rFonts w:ascii="仿宋_GB2312" w:hAnsi="仿宋_GB2312" w:cs="仿宋_GB2312" w:eastAsia="仿宋_GB2312"/>
        </w:rPr>
        <w:t>依据招标文件的技术、商务要求和国家有关质量标准进行现场验收。</w:t>
      </w:r>
    </w:p>
    <w:p>
      <w:pPr>
        <w:pStyle w:val="null5"/>
      </w:pPr>
      <w:r>
        <w:rPr>
          <w:rFonts w:ascii="仿宋_GB2312" w:hAnsi="仿宋_GB2312" w:cs="仿宋_GB2312" w:eastAsia="仿宋_GB2312"/>
        </w:rPr>
        <w:t>采购包3：</w:t>
      </w:r>
      <w:r>
        <w:rPr>
          <w:rFonts w:ascii="仿宋_GB2312" w:hAnsi="仿宋_GB2312" w:cs="仿宋_GB2312" w:eastAsia="仿宋_GB2312"/>
        </w:rPr>
        <w:t>依据招标文件的技术、商务要求和国家有关质量标准进行现场验收。</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按采购文件及合同要求</w:t>
      </w:r>
    </w:p>
    <w:p>
      <w:pPr>
        <w:pStyle w:val="null5"/>
      </w:pPr>
      <w:r>
        <w:rPr>
          <w:rFonts w:ascii="仿宋_GB2312" w:hAnsi="仿宋_GB2312" w:cs="仿宋_GB2312" w:eastAsia="仿宋_GB2312"/>
        </w:rPr>
        <w:t>采购包2：</w:t>
      </w:r>
      <w:r>
        <w:rPr>
          <w:rFonts w:ascii="仿宋_GB2312" w:hAnsi="仿宋_GB2312" w:cs="仿宋_GB2312" w:eastAsia="仿宋_GB2312"/>
        </w:rPr>
        <w:t>按采购文件及合同要求</w:t>
      </w:r>
    </w:p>
    <w:p>
      <w:pPr>
        <w:pStyle w:val="null5"/>
      </w:pPr>
      <w:r>
        <w:rPr>
          <w:rFonts w:ascii="仿宋_GB2312" w:hAnsi="仿宋_GB2312" w:cs="仿宋_GB2312" w:eastAsia="仿宋_GB2312"/>
        </w:rPr>
        <w:t>采购包3：</w:t>
      </w:r>
      <w:r>
        <w:rPr>
          <w:rFonts w:ascii="仿宋_GB2312" w:hAnsi="仿宋_GB2312" w:cs="仿宋_GB2312" w:eastAsia="仿宋_GB2312"/>
        </w:rPr>
        <w:t>按采购文件及合同要求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山东省医学科学院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山东俊艺丰项目管理有限公司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山东俊艺丰项目管理有限公司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联系人：英老师</w:t>
      </w:r>
    </w:p>
    <w:p>
      <w:pPr>
        <w:pStyle w:val="null5"/>
        <w:jc w:val="left"/>
      </w:pPr>
      <w:r>
        <w:rPr>
          <w:rFonts w:ascii="仿宋_GB2312" w:hAnsi="仿宋_GB2312" w:cs="仿宋_GB2312" w:eastAsia="仿宋_GB2312"/>
        </w:rPr>
        <w:t>联系电话：0531-66721006</w:t>
      </w:r>
    </w:p>
    <w:p>
      <w:pPr>
        <w:pStyle w:val="null5"/>
        <w:jc w:val="left"/>
      </w:pPr>
      <w:r>
        <w:rPr>
          <w:rFonts w:ascii="仿宋_GB2312" w:hAnsi="仿宋_GB2312" w:cs="仿宋_GB2312" w:eastAsia="仿宋_GB2312"/>
        </w:rPr>
        <w:t>地址：济南市历下区⽂东街道环⼭路55号中润裕华园11号院</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jc w:val="left"/>
      </w:pPr>
      <w:r>
        <w:rPr>
          <w:rFonts w:ascii="仿宋_GB2312" w:hAnsi="仿宋_GB2312" w:cs="仿宋_GB2312" w:eastAsia="仿宋_GB2312"/>
        </w:rPr>
        <w:t>采购包3：本采购包无需提交样品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382,740.00</w:t>
      </w:r>
    </w:p>
    <w:p>
      <w:pPr>
        <w:pStyle w:val="null5"/>
        <w:jc w:val="left"/>
      </w:pPr>
      <w:r>
        <w:rPr>
          <w:rFonts w:ascii="仿宋_GB2312" w:hAnsi="仿宋_GB2312" w:cs="仿宋_GB2312" w:eastAsia="仿宋_GB2312"/>
        </w:rPr>
        <w:t>采购包最高限价（元）: 382,740.00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小鼠等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382,740.00</w:t>
            </w:r>
          </w:p>
        </w:tc>
        <w:tc>
          <w:tcPr>
            <w:tcW w:type="dxa" w:w="923"/>
          </w:tcPr>
          <w:p>
            <w:pPr>
              <w:pStyle w:val="null5"/>
              <w:jc w:val="left"/>
            </w:pPr>
            <w:r>
              <w:rPr>
                <w:rFonts w:ascii="仿宋_GB2312" w:hAnsi="仿宋_GB2312" w:cs="仿宋_GB2312" w:eastAsia="仿宋_GB2312"/>
              </w:rPr>
              <w:t>农、林、牧、渔业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107,600.00</w:t>
      </w:r>
    </w:p>
    <w:p>
      <w:pPr>
        <w:pStyle w:val="null5"/>
        <w:jc w:val="left"/>
      </w:pPr>
      <w:r>
        <w:rPr>
          <w:rFonts w:ascii="仿宋_GB2312" w:hAnsi="仿宋_GB2312" w:cs="仿宋_GB2312" w:eastAsia="仿宋_GB2312"/>
        </w:rPr>
        <w:t>采购包最高限价（元）: 107,600.00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杀孢子剂等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107,600.00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617,260.00</w:t>
      </w:r>
    </w:p>
    <w:p>
      <w:pPr>
        <w:pStyle w:val="null5"/>
        <w:jc w:val="left"/>
      </w:pPr>
      <w:r>
        <w:rPr>
          <w:rFonts w:ascii="仿宋_GB2312" w:hAnsi="仿宋_GB2312" w:cs="仿宋_GB2312" w:eastAsia="仿宋_GB2312"/>
        </w:rPr>
        <w:t>采购包最高限价（元）: 617,260.00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新西兰兔等</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617,260.00</w:t>
            </w:r>
          </w:p>
        </w:tc>
        <w:tc>
          <w:tcPr>
            <w:tcW w:type="dxa" w:w="923"/>
          </w:tcPr>
          <w:p>
            <w:pPr>
              <w:pStyle w:val="null5"/>
              <w:jc w:val="left"/>
            </w:pPr>
            <w:r>
              <w:rPr>
                <w:rFonts w:ascii="仿宋_GB2312" w:hAnsi="仿宋_GB2312" w:cs="仿宋_GB2312" w:eastAsia="仿宋_GB2312"/>
              </w:rPr>
              <w:t>农、林、牧、渔业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小鼠等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382,740.00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小鼠等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小鼠</w:t>
            </w:r>
          </w:p>
        </w:tc>
        <w:tc>
          <w:tcPr>
            <w:tcW w:type="dxa" w:w="2076"/>
          </w:tcPr>
          <w:p>
            <w:pPr>
              <w:pStyle w:val="null5"/>
              <w:jc w:val="left"/>
            </w:pPr>
            <w:r>
              <w:rPr>
                <w:rFonts w:ascii="仿宋_GB2312" w:hAnsi="仿宋_GB2312" w:cs="仿宋_GB2312" w:eastAsia="仿宋_GB2312"/>
              </w:rPr>
              <w:t>小鼠</w:t>
            </w:r>
          </w:p>
        </w:tc>
        <w:tc>
          <w:tcPr>
            <w:tcW w:type="dxa" w:w="415"/>
          </w:tcPr>
          <w:p>
            <w:pPr>
              <w:pStyle w:val="null5"/>
              <w:jc w:val="left"/>
            </w:pPr>
            <w:r>
              <w:rPr>
                <w:rFonts w:ascii="仿宋_GB2312" w:hAnsi="仿宋_GB2312" w:cs="仿宋_GB2312" w:eastAsia="仿宋_GB2312"/>
              </w:rPr>
              <w:t>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大鼠</w:t>
            </w:r>
          </w:p>
        </w:tc>
        <w:tc>
          <w:tcPr>
            <w:tcW w:type="dxa" w:w="2076"/>
          </w:tcPr>
          <w:p>
            <w:pPr>
              <w:pStyle w:val="null5"/>
              <w:jc w:val="left"/>
            </w:pPr>
            <w:r>
              <w:rPr>
                <w:rFonts w:ascii="仿宋_GB2312" w:hAnsi="仿宋_GB2312" w:cs="仿宋_GB2312" w:eastAsia="仿宋_GB2312"/>
              </w:rPr>
              <w:t>大鼠</w:t>
            </w:r>
          </w:p>
        </w:tc>
        <w:tc>
          <w:tcPr>
            <w:tcW w:type="dxa" w:w="415"/>
          </w:tcPr>
          <w:p>
            <w:pPr>
              <w:pStyle w:val="null5"/>
              <w:jc w:val="left"/>
            </w:pPr>
            <w:r>
              <w:rPr>
                <w:rFonts w:ascii="仿宋_GB2312" w:hAnsi="仿宋_GB2312" w:cs="仿宋_GB2312" w:eastAsia="仿宋_GB2312"/>
              </w:rPr>
              <w:t>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鼠饲料</w:t>
            </w:r>
          </w:p>
        </w:tc>
        <w:tc>
          <w:tcPr>
            <w:tcW w:type="dxa" w:w="2076"/>
          </w:tcPr>
          <w:p>
            <w:pPr>
              <w:pStyle w:val="null5"/>
              <w:jc w:val="left"/>
            </w:pPr>
            <w:r>
              <w:rPr>
                <w:rFonts w:ascii="仿宋_GB2312" w:hAnsi="仿宋_GB2312" w:cs="仿宋_GB2312" w:eastAsia="仿宋_GB2312"/>
              </w:rPr>
              <w:t>鼠饲料</w:t>
            </w:r>
          </w:p>
        </w:tc>
        <w:tc>
          <w:tcPr>
            <w:tcW w:type="dxa" w:w="415"/>
          </w:tcPr>
          <w:p>
            <w:pPr>
              <w:pStyle w:val="null5"/>
              <w:jc w:val="left"/>
            </w:pPr>
            <w:r>
              <w:rPr>
                <w:rFonts w:ascii="仿宋_GB2312" w:hAnsi="仿宋_GB2312" w:cs="仿宋_GB2312" w:eastAsia="仿宋_GB2312"/>
              </w:rPr>
              <w:t>kg</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垫料</w:t>
            </w:r>
          </w:p>
        </w:tc>
        <w:tc>
          <w:tcPr>
            <w:tcW w:type="dxa" w:w="2076"/>
          </w:tcPr>
          <w:p>
            <w:pPr>
              <w:pStyle w:val="null5"/>
              <w:jc w:val="left"/>
            </w:pPr>
            <w:r>
              <w:rPr>
                <w:rFonts w:ascii="仿宋_GB2312" w:hAnsi="仿宋_GB2312" w:cs="仿宋_GB2312" w:eastAsia="仿宋_GB2312"/>
              </w:rPr>
              <w:t>垫料</w:t>
            </w:r>
          </w:p>
        </w:tc>
        <w:tc>
          <w:tcPr>
            <w:tcW w:type="dxa" w:w="415"/>
          </w:tcPr>
          <w:p>
            <w:pPr>
              <w:pStyle w:val="null5"/>
              <w:jc w:val="left"/>
            </w:pPr>
            <w:r>
              <w:rPr>
                <w:rFonts w:ascii="仿宋_GB2312" w:hAnsi="仿宋_GB2312" w:cs="仿宋_GB2312" w:eastAsia="仿宋_GB2312"/>
              </w:rPr>
              <w:t>kg</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实验动物专用运输箱</w:t>
            </w:r>
          </w:p>
        </w:tc>
        <w:tc>
          <w:tcPr>
            <w:tcW w:type="dxa" w:w="2076"/>
          </w:tcPr>
          <w:p>
            <w:pPr>
              <w:pStyle w:val="null5"/>
              <w:jc w:val="left"/>
            </w:pPr>
            <w:r>
              <w:rPr>
                <w:rFonts w:ascii="仿宋_GB2312" w:hAnsi="仿宋_GB2312" w:cs="仿宋_GB2312" w:eastAsia="仿宋_GB2312"/>
              </w:rPr>
              <w:t>实验动物专用运输箱</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杀孢子剂等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107,600.00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杀孢子剂等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PVM小鼠肺炎病毒抗体ELISA检测试剂盒</w:t>
            </w:r>
          </w:p>
        </w:tc>
        <w:tc>
          <w:tcPr>
            <w:tcW w:type="dxa" w:w="2076"/>
          </w:tcPr>
          <w:p>
            <w:pPr>
              <w:pStyle w:val="null5"/>
              <w:jc w:val="left"/>
            </w:pPr>
            <w:r>
              <w:rPr>
                <w:rFonts w:ascii="仿宋_GB2312" w:hAnsi="仿宋_GB2312" w:cs="仿宋_GB2312" w:eastAsia="仿宋_GB2312"/>
              </w:rPr>
              <w:t>PVM小鼠肺炎病毒抗体ELISA检测试剂盒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MVM小鼠细小病毒抗体ELISA检测试剂盒</w:t>
            </w:r>
          </w:p>
        </w:tc>
        <w:tc>
          <w:tcPr>
            <w:tcW w:type="dxa" w:w="2076"/>
          </w:tcPr>
          <w:p>
            <w:pPr>
              <w:pStyle w:val="null5"/>
              <w:jc w:val="left"/>
            </w:pPr>
            <w:r>
              <w:rPr>
                <w:rFonts w:ascii="仿宋_GB2312" w:hAnsi="仿宋_GB2312" w:cs="仿宋_GB2312" w:eastAsia="仿宋_GB2312"/>
              </w:rPr>
              <w:t>MVM小鼠细小病毒抗体ELISA检测试剂盒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MHV小鼠肝炎病毒抗体检测试剂盒</w:t>
            </w:r>
          </w:p>
        </w:tc>
        <w:tc>
          <w:tcPr>
            <w:tcW w:type="dxa" w:w="2076"/>
          </w:tcPr>
          <w:p>
            <w:pPr>
              <w:pStyle w:val="null5"/>
              <w:jc w:val="left"/>
            </w:pPr>
            <w:r>
              <w:rPr>
                <w:rFonts w:ascii="仿宋_GB2312" w:hAnsi="仿宋_GB2312" w:cs="仿宋_GB2312" w:eastAsia="仿宋_GB2312"/>
              </w:rPr>
              <w:t>MHV小鼠肝炎病毒抗体检测试剂盒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PCAR卡氏肺孢子虫抗体ELISA检测试剂盒</w:t>
            </w:r>
          </w:p>
        </w:tc>
        <w:tc>
          <w:tcPr>
            <w:tcW w:type="dxa" w:w="2076"/>
          </w:tcPr>
          <w:p>
            <w:pPr>
              <w:pStyle w:val="null5"/>
              <w:jc w:val="left"/>
            </w:pPr>
            <w:r>
              <w:rPr>
                <w:rFonts w:ascii="仿宋_GB2312" w:hAnsi="仿宋_GB2312" w:cs="仿宋_GB2312" w:eastAsia="仿宋_GB2312"/>
              </w:rPr>
              <w:t>PCAR卡氏肺孢子虫抗体ELISA检测试剂盒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GPCMV豚鼠巨细胞病毒抗体ELISA检测试剂盒</w:t>
            </w:r>
          </w:p>
        </w:tc>
        <w:tc>
          <w:tcPr>
            <w:tcW w:type="dxa" w:w="2076"/>
          </w:tcPr>
          <w:p>
            <w:pPr>
              <w:pStyle w:val="null5"/>
              <w:jc w:val="left"/>
            </w:pPr>
            <w:r>
              <w:rPr>
                <w:rFonts w:ascii="仿宋_GB2312" w:hAnsi="仿宋_GB2312" w:cs="仿宋_GB2312" w:eastAsia="仿宋_GB2312"/>
              </w:rPr>
              <w:t>GPCMV豚鼠巨细胞病毒抗体ELISA检测试剂盒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MNV小鼠诺如病毒抗体ELISA检测试剂盒</w:t>
            </w:r>
          </w:p>
        </w:tc>
        <w:tc>
          <w:tcPr>
            <w:tcW w:type="dxa" w:w="2076"/>
          </w:tcPr>
          <w:p>
            <w:pPr>
              <w:pStyle w:val="null5"/>
              <w:jc w:val="left"/>
            </w:pPr>
            <w:r>
              <w:rPr>
                <w:rFonts w:ascii="仿宋_GB2312" w:hAnsi="仿宋_GB2312" w:cs="仿宋_GB2312" w:eastAsia="仿宋_GB2312"/>
              </w:rPr>
              <w:t>MNV小鼠诺如病毒抗体ELISA检测试剂盒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SDAV大鼠冠状病毒抗体ELISA检测试剂盒</w:t>
            </w:r>
          </w:p>
        </w:tc>
        <w:tc>
          <w:tcPr>
            <w:tcW w:type="dxa" w:w="2076"/>
          </w:tcPr>
          <w:p>
            <w:pPr>
              <w:pStyle w:val="null5"/>
              <w:jc w:val="left"/>
            </w:pPr>
            <w:r>
              <w:rPr>
                <w:rFonts w:ascii="仿宋_GB2312" w:hAnsi="仿宋_GB2312" w:cs="仿宋_GB2312" w:eastAsia="仿宋_GB2312"/>
              </w:rPr>
              <w:t>SDAV大鼠冠状病毒抗体ELISA检测试剂盒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H-1大鼠细小病毒H-1株抗体ELISA检测试剂盒</w:t>
            </w:r>
          </w:p>
        </w:tc>
        <w:tc>
          <w:tcPr>
            <w:tcW w:type="dxa" w:w="2076"/>
          </w:tcPr>
          <w:p>
            <w:pPr>
              <w:pStyle w:val="null5"/>
              <w:jc w:val="left"/>
            </w:pPr>
            <w:r>
              <w:rPr>
                <w:rFonts w:ascii="仿宋_GB2312" w:hAnsi="仿宋_GB2312" w:cs="仿宋_GB2312" w:eastAsia="仿宋_GB2312"/>
              </w:rPr>
              <w:t>H-1大鼠细小病毒H-1株抗体ELISA检测试剂盒</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饲料托盘</w:t>
            </w:r>
          </w:p>
        </w:tc>
        <w:tc>
          <w:tcPr>
            <w:tcW w:type="dxa" w:w="2076"/>
          </w:tcPr>
          <w:p>
            <w:pPr>
              <w:pStyle w:val="null5"/>
              <w:jc w:val="left"/>
            </w:pPr>
            <w:r>
              <w:rPr>
                <w:rFonts w:ascii="仿宋_GB2312" w:hAnsi="仿宋_GB2312" w:cs="仿宋_GB2312" w:eastAsia="仿宋_GB2312"/>
              </w:rPr>
              <w:t>饲料托盘</w:t>
            </w:r>
          </w:p>
        </w:tc>
        <w:tc>
          <w:tcPr>
            <w:tcW w:type="dxa" w:w="415"/>
          </w:tcPr>
          <w:p>
            <w:pPr>
              <w:pStyle w:val="null5"/>
              <w:jc w:val="left"/>
            </w:pPr>
            <w:r>
              <w:rPr>
                <w:rFonts w:ascii="仿宋_GB2312" w:hAnsi="仿宋_GB2312" w:cs="仿宋_GB2312" w:eastAsia="仿宋_GB2312"/>
              </w:rPr>
              <w:t>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杀孢子剂</w:t>
            </w:r>
          </w:p>
        </w:tc>
        <w:tc>
          <w:tcPr>
            <w:tcW w:type="dxa" w:w="2076"/>
          </w:tcPr>
          <w:p>
            <w:pPr>
              <w:pStyle w:val="null5"/>
              <w:jc w:val="left"/>
            </w:pPr>
            <w:r>
              <w:rPr>
                <w:rFonts w:ascii="仿宋_GB2312" w:hAnsi="仿宋_GB2312" w:cs="仿宋_GB2312" w:eastAsia="仿宋_GB2312"/>
              </w:rPr>
              <w:t>杀孢子剂</w:t>
            </w:r>
          </w:p>
        </w:tc>
        <w:tc>
          <w:tcPr>
            <w:tcW w:type="dxa" w:w="415"/>
          </w:tcPr>
          <w:p>
            <w:pPr>
              <w:pStyle w:val="null5"/>
              <w:jc w:val="left"/>
            </w:pPr>
            <w:r>
              <w:rPr>
                <w:rFonts w:ascii="仿宋_GB2312" w:hAnsi="仿宋_GB2312" w:cs="仿宋_GB2312" w:eastAsia="仿宋_GB2312"/>
              </w:rPr>
              <w:t>瓶</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超低微量喷雾机</w:t>
            </w:r>
          </w:p>
        </w:tc>
        <w:tc>
          <w:tcPr>
            <w:tcW w:type="dxa" w:w="2076"/>
          </w:tcPr>
          <w:p>
            <w:pPr>
              <w:pStyle w:val="null5"/>
              <w:jc w:val="left"/>
            </w:pPr>
            <w:r>
              <w:rPr>
                <w:rFonts w:ascii="仿宋_GB2312" w:hAnsi="仿宋_GB2312" w:cs="仿宋_GB2312" w:eastAsia="仿宋_GB2312"/>
              </w:rPr>
              <w:t>超低微量喷雾机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芽孢条（灭菌生物指示剂）</w:t>
            </w:r>
          </w:p>
        </w:tc>
        <w:tc>
          <w:tcPr>
            <w:tcW w:type="dxa" w:w="2076"/>
          </w:tcPr>
          <w:p>
            <w:pPr>
              <w:pStyle w:val="null5"/>
              <w:jc w:val="left"/>
            </w:pPr>
            <w:r>
              <w:rPr>
                <w:rFonts w:ascii="仿宋_GB2312" w:hAnsi="仿宋_GB2312" w:cs="仿宋_GB2312" w:eastAsia="仿宋_GB2312"/>
              </w:rPr>
              <w:t>芽孢条（灭菌生物指示剂）</w:t>
            </w:r>
          </w:p>
        </w:tc>
        <w:tc>
          <w:tcPr>
            <w:tcW w:type="dxa" w:w="415"/>
          </w:tcPr>
          <w:p>
            <w:pPr>
              <w:pStyle w:val="null5"/>
              <w:jc w:val="left"/>
            </w:pPr>
            <w:r>
              <w:rPr>
                <w:rFonts w:ascii="仿宋_GB2312" w:hAnsi="仿宋_GB2312" w:cs="仿宋_GB2312" w:eastAsia="仿宋_GB2312"/>
              </w:rPr>
              <w:t>盒</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新西兰兔等</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617,260.00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新西兰兔等</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新西兰兔</w:t>
            </w:r>
          </w:p>
        </w:tc>
        <w:tc>
          <w:tcPr>
            <w:tcW w:type="dxa" w:w="2076"/>
          </w:tcPr>
          <w:p>
            <w:pPr>
              <w:pStyle w:val="null5"/>
              <w:jc w:val="left"/>
            </w:pPr>
            <w:r>
              <w:rPr>
                <w:rFonts w:ascii="仿宋_GB2312" w:hAnsi="仿宋_GB2312" w:cs="仿宋_GB2312" w:eastAsia="仿宋_GB2312"/>
              </w:rPr>
              <w:t>新西兰兔</w:t>
            </w:r>
          </w:p>
        </w:tc>
        <w:tc>
          <w:tcPr>
            <w:tcW w:type="dxa" w:w="415"/>
          </w:tcPr>
          <w:p>
            <w:pPr>
              <w:pStyle w:val="null5"/>
              <w:jc w:val="left"/>
            </w:pPr>
            <w:r>
              <w:rPr>
                <w:rFonts w:ascii="仿宋_GB2312" w:hAnsi="仿宋_GB2312" w:cs="仿宋_GB2312" w:eastAsia="仿宋_GB2312"/>
              </w:rPr>
              <w:t>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豚鼠</w:t>
            </w:r>
          </w:p>
        </w:tc>
        <w:tc>
          <w:tcPr>
            <w:tcW w:type="dxa" w:w="2076"/>
          </w:tcPr>
          <w:p>
            <w:pPr>
              <w:pStyle w:val="null5"/>
              <w:jc w:val="left"/>
            </w:pPr>
            <w:r>
              <w:rPr>
                <w:rFonts w:ascii="仿宋_GB2312" w:hAnsi="仿宋_GB2312" w:cs="仿宋_GB2312" w:eastAsia="仿宋_GB2312"/>
              </w:rPr>
              <w:t>豚鼠</w:t>
            </w:r>
          </w:p>
        </w:tc>
        <w:tc>
          <w:tcPr>
            <w:tcW w:type="dxa" w:w="415"/>
          </w:tcPr>
          <w:p>
            <w:pPr>
              <w:pStyle w:val="null5"/>
              <w:jc w:val="left"/>
            </w:pPr>
            <w:r>
              <w:rPr>
                <w:rFonts w:ascii="仿宋_GB2312" w:hAnsi="仿宋_GB2312" w:cs="仿宋_GB2312" w:eastAsia="仿宋_GB2312"/>
              </w:rPr>
              <w:t>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蟾蜍</w:t>
            </w:r>
          </w:p>
        </w:tc>
        <w:tc>
          <w:tcPr>
            <w:tcW w:type="dxa" w:w="2076"/>
          </w:tcPr>
          <w:p>
            <w:pPr>
              <w:pStyle w:val="null5"/>
              <w:jc w:val="left"/>
            </w:pPr>
            <w:r>
              <w:rPr>
                <w:rFonts w:ascii="仿宋_GB2312" w:hAnsi="仿宋_GB2312" w:cs="仿宋_GB2312" w:eastAsia="仿宋_GB2312"/>
              </w:rPr>
              <w:t>蟾蜍</w:t>
            </w:r>
          </w:p>
        </w:tc>
        <w:tc>
          <w:tcPr>
            <w:tcW w:type="dxa" w:w="415"/>
          </w:tcPr>
          <w:p>
            <w:pPr>
              <w:pStyle w:val="null5"/>
              <w:jc w:val="left"/>
            </w:pPr>
            <w:r>
              <w:rPr>
                <w:rFonts w:ascii="仿宋_GB2312" w:hAnsi="仿宋_GB2312" w:cs="仿宋_GB2312" w:eastAsia="仿宋_GB2312"/>
              </w:rPr>
              <w:t>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鸡</w:t>
            </w:r>
          </w:p>
        </w:tc>
        <w:tc>
          <w:tcPr>
            <w:tcW w:type="dxa" w:w="2076"/>
          </w:tcPr>
          <w:p>
            <w:pPr>
              <w:pStyle w:val="null5"/>
              <w:jc w:val="left"/>
            </w:pPr>
            <w:r>
              <w:rPr>
                <w:rFonts w:ascii="仿宋_GB2312" w:hAnsi="仿宋_GB2312" w:cs="仿宋_GB2312" w:eastAsia="仿宋_GB2312"/>
              </w:rPr>
              <w:t>鸡</w:t>
            </w:r>
          </w:p>
        </w:tc>
        <w:tc>
          <w:tcPr>
            <w:tcW w:type="dxa" w:w="415"/>
          </w:tcPr>
          <w:p>
            <w:pPr>
              <w:pStyle w:val="null5"/>
              <w:jc w:val="left"/>
            </w:pPr>
            <w:r>
              <w:rPr>
                <w:rFonts w:ascii="仿宋_GB2312" w:hAnsi="仿宋_GB2312" w:cs="仿宋_GB2312" w:eastAsia="仿宋_GB2312"/>
              </w:rPr>
              <w:t>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鸡胚</w:t>
            </w:r>
          </w:p>
        </w:tc>
        <w:tc>
          <w:tcPr>
            <w:tcW w:type="dxa" w:w="2076"/>
          </w:tcPr>
          <w:p>
            <w:pPr>
              <w:pStyle w:val="null5"/>
              <w:jc w:val="left"/>
            </w:pPr>
            <w:r>
              <w:rPr>
                <w:rFonts w:ascii="仿宋_GB2312" w:hAnsi="仿宋_GB2312" w:cs="仿宋_GB2312" w:eastAsia="仿宋_GB2312"/>
              </w:rPr>
              <w:t>鸡胚</w:t>
            </w:r>
          </w:p>
        </w:tc>
        <w:tc>
          <w:tcPr>
            <w:tcW w:type="dxa" w:w="415"/>
          </w:tcPr>
          <w:p>
            <w:pPr>
              <w:pStyle w:val="null5"/>
              <w:jc w:val="left"/>
            </w:pPr>
            <w:r>
              <w:rPr>
                <w:rFonts w:ascii="仿宋_GB2312" w:hAnsi="仿宋_GB2312" w:cs="仿宋_GB2312" w:eastAsia="仿宋_GB2312"/>
              </w:rPr>
              <w:t>枚</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鲤鱼</w:t>
            </w:r>
          </w:p>
        </w:tc>
        <w:tc>
          <w:tcPr>
            <w:tcW w:type="dxa" w:w="2076"/>
          </w:tcPr>
          <w:p>
            <w:pPr>
              <w:pStyle w:val="null5"/>
              <w:jc w:val="left"/>
            </w:pPr>
            <w:r>
              <w:rPr>
                <w:rFonts w:ascii="仿宋_GB2312" w:hAnsi="仿宋_GB2312" w:cs="仿宋_GB2312" w:eastAsia="仿宋_GB2312"/>
              </w:rPr>
              <w:t>鲤鱼</w:t>
            </w:r>
          </w:p>
        </w:tc>
        <w:tc>
          <w:tcPr>
            <w:tcW w:type="dxa" w:w="415"/>
          </w:tcPr>
          <w:p>
            <w:pPr>
              <w:pStyle w:val="null5"/>
              <w:jc w:val="left"/>
            </w:pPr>
            <w:r>
              <w:rPr>
                <w:rFonts w:ascii="仿宋_GB2312" w:hAnsi="仿宋_GB2312" w:cs="仿宋_GB2312" w:eastAsia="仿宋_GB2312"/>
              </w:rPr>
              <w:t>条</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河虾</w:t>
            </w:r>
          </w:p>
        </w:tc>
        <w:tc>
          <w:tcPr>
            <w:tcW w:type="dxa" w:w="2076"/>
          </w:tcPr>
          <w:p>
            <w:pPr>
              <w:pStyle w:val="null5"/>
              <w:jc w:val="left"/>
            </w:pPr>
            <w:r>
              <w:rPr>
                <w:rFonts w:ascii="仿宋_GB2312" w:hAnsi="仿宋_GB2312" w:cs="仿宋_GB2312" w:eastAsia="仿宋_GB2312"/>
              </w:rPr>
              <w:t>河虾</w:t>
            </w:r>
          </w:p>
        </w:tc>
        <w:tc>
          <w:tcPr>
            <w:tcW w:type="dxa" w:w="415"/>
          </w:tcPr>
          <w:p>
            <w:pPr>
              <w:pStyle w:val="null5"/>
              <w:jc w:val="left"/>
            </w:pPr>
            <w:r>
              <w:rPr>
                <w:rFonts w:ascii="仿宋_GB2312" w:hAnsi="仿宋_GB2312" w:cs="仿宋_GB2312" w:eastAsia="仿宋_GB2312"/>
              </w:rPr>
              <w:t>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r>
        <w:tc>
          <w:tcPr>
            <w:tcW w:type="dxa" w:w="415"/>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鸽子</w:t>
            </w:r>
          </w:p>
        </w:tc>
        <w:tc>
          <w:tcPr>
            <w:tcW w:type="dxa" w:w="2076"/>
          </w:tcPr>
          <w:p>
            <w:pPr>
              <w:pStyle w:val="null5"/>
              <w:jc w:val="left"/>
            </w:pPr>
            <w:r>
              <w:rPr>
                <w:rFonts w:ascii="仿宋_GB2312" w:hAnsi="仿宋_GB2312" w:cs="仿宋_GB2312" w:eastAsia="仿宋_GB2312"/>
              </w:rPr>
              <w:t>鸽子</w:t>
            </w:r>
          </w:p>
        </w:tc>
        <w:tc>
          <w:tcPr>
            <w:tcW w:type="dxa" w:w="415"/>
          </w:tcPr>
          <w:p>
            <w:pPr>
              <w:pStyle w:val="null5"/>
              <w:jc w:val="left"/>
            </w:pPr>
            <w:r>
              <w:rPr>
                <w:rFonts w:ascii="仿宋_GB2312" w:hAnsi="仿宋_GB2312" w:cs="仿宋_GB2312" w:eastAsia="仿宋_GB2312"/>
              </w:rPr>
              <w:t>只</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实验用动物</w:t>
            </w:r>
          </w:p>
        </w:tc>
        <w:tc>
          <w:tcPr>
            <w:tcW w:type="dxa" w:w="2492"/>
          </w:tcPr>
          <w:p>
            <w:pPr>
              <w:pStyle w:val="null5"/>
              <w:jc w:val="left"/>
            </w:pPr>
            <w:r>
              <w:rPr>
                <w:rFonts w:ascii="仿宋_GB2312" w:hAnsi="仿宋_GB2312" w:cs="仿宋_GB2312" w:eastAsia="仿宋_GB2312"/>
              </w:rPr>
              <w:t>小鼠等</w:t>
            </w:r>
          </w:p>
        </w:tc>
        <w:tc>
          <w:tcPr>
            <w:tcW w:type="dxa" w:w="2492"/>
          </w:tcPr>
          <w:p>
            <w:pPr>
              <w:pStyle w:val="null5"/>
              <w:jc w:val="left"/>
            </w:pPr>
            <w:r>
              <w:rPr>
                <w:rFonts w:ascii="仿宋_GB2312" w:hAnsi="仿宋_GB2312" w:cs="仿宋_GB2312" w:eastAsia="仿宋_GB2312"/>
              </w:rPr>
              <w:t>小鼠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生物试剂盒</w:t>
            </w:r>
          </w:p>
        </w:tc>
        <w:tc>
          <w:tcPr>
            <w:tcW w:type="dxa" w:w="2492"/>
          </w:tcPr>
          <w:p>
            <w:pPr>
              <w:pStyle w:val="null5"/>
              <w:jc w:val="left"/>
            </w:pPr>
            <w:r>
              <w:rPr>
                <w:rFonts w:ascii="仿宋_GB2312" w:hAnsi="仿宋_GB2312" w:cs="仿宋_GB2312" w:eastAsia="仿宋_GB2312"/>
              </w:rPr>
              <w:t>杀孢子剂等</w:t>
            </w:r>
          </w:p>
        </w:tc>
        <w:tc>
          <w:tcPr>
            <w:tcW w:type="dxa" w:w="2492"/>
          </w:tcPr>
          <w:p>
            <w:pPr>
              <w:pStyle w:val="null5"/>
              <w:jc w:val="left"/>
            </w:pPr>
            <w:r>
              <w:rPr>
                <w:rFonts w:ascii="仿宋_GB2312" w:hAnsi="仿宋_GB2312" w:cs="仿宋_GB2312" w:eastAsia="仿宋_GB2312"/>
              </w:rPr>
              <w:t>杀孢子剂</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实验用动物</w:t>
            </w:r>
          </w:p>
        </w:tc>
        <w:tc>
          <w:tcPr>
            <w:tcW w:type="dxa" w:w="2492"/>
          </w:tcPr>
          <w:p>
            <w:pPr>
              <w:pStyle w:val="null5"/>
              <w:jc w:val="left"/>
            </w:pPr>
            <w:r>
              <w:rPr>
                <w:rFonts w:ascii="仿宋_GB2312" w:hAnsi="仿宋_GB2312" w:cs="仿宋_GB2312" w:eastAsia="仿宋_GB2312"/>
              </w:rPr>
              <w:t>新西兰兔等</w:t>
            </w:r>
          </w:p>
        </w:tc>
        <w:tc>
          <w:tcPr>
            <w:tcW w:type="dxa" w:w="2492"/>
          </w:tcPr>
          <w:p>
            <w:pPr>
              <w:pStyle w:val="null5"/>
              <w:jc w:val="left"/>
            </w:pPr>
            <w:r>
              <w:rPr>
                <w:rFonts w:ascii="仿宋_GB2312" w:hAnsi="仿宋_GB2312" w:cs="仿宋_GB2312" w:eastAsia="仿宋_GB2312"/>
              </w:rPr>
              <w:t>新西兰兔</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标的名称：小鼠等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小鼠</w:t>
            </w:r>
          </w:p>
        </w:tc>
        <w:tc>
          <w:tcPr>
            <w:tcW w:type="dxa" w:w="2076"/>
          </w:tcPr>
          <w:p>
            <w:pPr>
              <w:pStyle w:val="null5"/>
              <w:jc w:val="left"/>
            </w:pPr>
            <w:r>
              <w:rPr>
                <w:rFonts w:ascii="仿宋_GB2312" w:hAnsi="仿宋_GB2312" w:cs="仿宋_GB2312" w:eastAsia="仿宋_GB2312"/>
              </w:rPr>
              <w:t>1、活体，SPF级KM小鼠或ICR小鼠；2、性别根据客户具体要求配送，送达时间根据客户具体要求准时配送；3、具有省级以上实验动物主管部门颁发的实验动物生产许可证及实验动物质量合格证；4、体重范围18-22g</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大鼠</w:t>
            </w:r>
          </w:p>
        </w:tc>
        <w:tc>
          <w:tcPr>
            <w:tcW w:type="dxa" w:w="2076"/>
          </w:tcPr>
          <w:p>
            <w:pPr>
              <w:pStyle w:val="null5"/>
              <w:jc w:val="left"/>
            </w:pPr>
            <w:r>
              <w:rPr>
                <w:rFonts w:ascii="仿宋_GB2312" w:hAnsi="仿宋_GB2312" w:cs="仿宋_GB2312" w:eastAsia="仿宋_GB2312"/>
              </w:rPr>
              <w:t>1、活体，SPF级wistar大鼠或SD大鼠；2、性别根据客户具体要求配送；3、具有省级以上实验动物主管部门颁发的实验动物生产许可证及实验动物质量合格证；4、体重范围150-200g</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鼠饲料</w:t>
            </w:r>
          </w:p>
        </w:tc>
        <w:tc>
          <w:tcPr>
            <w:tcW w:type="dxa" w:w="2076"/>
          </w:tcPr>
          <w:p>
            <w:pPr>
              <w:pStyle w:val="null5"/>
              <w:jc w:val="left"/>
            </w:pPr>
            <w:r>
              <w:rPr>
                <w:rFonts w:ascii="仿宋_GB2312" w:hAnsi="仿宋_GB2312" w:cs="仿宋_GB2312" w:eastAsia="仿宋_GB2312"/>
              </w:rPr>
              <w:t>1、具有省级以上实验动物主管部门颁发的实验动物饲料生产许可证及饲料合格证； 2、供应的实验动物饲料符合GB14924.1-2001《实验动物配合饲料通用质量标准》、GB14924.2-2001《实验动物配合饲料卫生标准》、GB14924.3-2010《实验动物配合饲料营养成分》等国家标准中各项指标的要求； 3、为保障SPF级大、小鼠的洁净度，供应的饲料需经过Co60辐照灭菌处理，辐照量≥25kGy，提供辐照证明材料； 4、为保障生长的大、小鼠对营养的需要，其常规营养成分，粗脂肪≥4%、粗蛋白≥18%、粗纤维 ≤5%、粗灰分≤8%、钙1-1.8%、总磷0.6-1.2%，锌≥30mg/kg、硒0.1-0.2mg/kg，维生素K的含量≥3mg/kg，维生素E含量≥60IU/kg, 提供第三方检测机构的检测报告； 5、每批次提供一次第三方饲料质量检测报告，内容应包括相应的国家标准所要求的所有指标，第三方质量检测报告由CMA或CNAS认证认可的检测机构出具； 6、饲料包装：辐照灭菌饲料至少双层包装，外包装标识清楚产品名称、重量、辐照级别（或剂量）、生产单位；生产日期夏季不超过1个月，冬季不超过2个月。</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垫料</w:t>
            </w:r>
          </w:p>
        </w:tc>
        <w:tc>
          <w:tcPr>
            <w:tcW w:type="dxa" w:w="2076"/>
          </w:tcPr>
          <w:p>
            <w:pPr>
              <w:pStyle w:val="null5"/>
              <w:jc w:val="left"/>
            </w:pPr>
            <w:r>
              <w:rPr>
                <w:rFonts w:ascii="仿宋_GB2312" w:hAnsi="仿宋_GB2312" w:cs="仿宋_GB2312" w:eastAsia="仿宋_GB2312"/>
              </w:rPr>
              <w:t>1、供应的实验动物垫料均符合相关行业和地方标准中各项指标的要求； 2、垫料的形状一致，高压灭菌后不变形，目数：8目； 3、含水量在6%-12%，含尘量≤1%，吸水率≥150%。每批次提供一次第三方饲料质量检测报告，内容应包括相应的国家标准所要求的所有指标，第三方质量检测报告由CMA或CNAS认证认可的检测机构出具。</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实验动物专用运输箱</w:t>
            </w:r>
          </w:p>
        </w:tc>
        <w:tc>
          <w:tcPr>
            <w:tcW w:type="dxa" w:w="2076"/>
          </w:tcPr>
          <w:p>
            <w:pPr>
              <w:pStyle w:val="null5"/>
              <w:jc w:val="left"/>
            </w:pPr>
            <w:r>
              <w:rPr>
                <w:rFonts w:ascii="仿宋_GB2312" w:hAnsi="仿宋_GB2312" w:cs="仿宋_GB2312" w:eastAsia="仿宋_GB2312"/>
              </w:rPr>
              <w:t>1、运输箱应符合RB/T 062-2021 《实验动物运输管理规范》要求；2、适用于所运动物种类，满足不同体重和种类的动物有明确的最小空间要求；3、箱体要注明动物品系、性别、数量、目的地及联系方式</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标的名称：杀孢子剂等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PVM小鼠肺炎病毒抗体ELISA检测试剂盒</w:t>
            </w:r>
          </w:p>
        </w:tc>
        <w:tc>
          <w:tcPr>
            <w:tcW w:type="dxa" w:w="2076"/>
          </w:tcPr>
          <w:p>
            <w:pPr>
              <w:pStyle w:val="null5"/>
              <w:jc w:val="left"/>
            </w:pPr>
            <w:r>
              <w:rPr>
                <w:rFonts w:ascii="仿宋_GB2312" w:hAnsi="仿宋_GB2312" w:cs="仿宋_GB2312" w:eastAsia="仿宋_GB2312"/>
              </w:rPr>
              <w:t>1.规格：96Test/盒；2.准确性：阳性对照孔OD值平均值≥1.00；3.阴性对照孔OD值平均值≤0.15； 4.特异性：不与其它可溶性结构类似物交叉反应；5.重复性：板内、板间变异系数均≤15%</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MVM小鼠细小病毒抗体ELISA检测试剂盒</w:t>
            </w:r>
          </w:p>
        </w:tc>
        <w:tc>
          <w:tcPr>
            <w:tcW w:type="dxa" w:w="2076"/>
          </w:tcPr>
          <w:p>
            <w:pPr>
              <w:pStyle w:val="null5"/>
              <w:jc w:val="left"/>
            </w:pPr>
            <w:r>
              <w:rPr>
                <w:rFonts w:ascii="仿宋_GB2312" w:hAnsi="仿宋_GB2312" w:cs="仿宋_GB2312" w:eastAsia="仿宋_GB2312"/>
              </w:rPr>
              <w:t>1.规格：96Test/盒；2.准确性：阳性对照孔OD值平均值≥1.00；3.阴性对照孔OD值平均值≤0.15； 4.特异性：不与其它可溶性结构类似物交叉反应；5.重复性：板内、板间变异系数均≤15%</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MHV小鼠肝炎病毒抗体检测试剂盒</w:t>
            </w:r>
          </w:p>
        </w:tc>
        <w:tc>
          <w:tcPr>
            <w:tcW w:type="dxa" w:w="2076"/>
          </w:tcPr>
          <w:p>
            <w:pPr>
              <w:pStyle w:val="null5"/>
              <w:jc w:val="left"/>
            </w:pPr>
            <w:r>
              <w:rPr>
                <w:rFonts w:ascii="仿宋_GB2312" w:hAnsi="仿宋_GB2312" w:cs="仿宋_GB2312" w:eastAsia="仿宋_GB2312"/>
              </w:rPr>
              <w:t>1.规格：96Test/盒；2.准确性：阳性对照孔OD值平均值≥1.00；3.阴性对照孔OD值平均值≤0.15； 4.特异性：不与其它可溶性结构类似物交叉反应；5.重复性：板内、板间变异系数均≤15%</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PCAR卡氏肺孢子虫抗体ELISA检测试剂盒</w:t>
            </w:r>
          </w:p>
        </w:tc>
        <w:tc>
          <w:tcPr>
            <w:tcW w:type="dxa" w:w="2076"/>
          </w:tcPr>
          <w:p>
            <w:pPr>
              <w:pStyle w:val="null5"/>
              <w:jc w:val="left"/>
            </w:pPr>
            <w:r>
              <w:rPr>
                <w:rFonts w:ascii="仿宋_GB2312" w:hAnsi="仿宋_GB2312" w:cs="仿宋_GB2312" w:eastAsia="仿宋_GB2312"/>
              </w:rPr>
              <w:t>1.规格：96Test/盒；2.准确性：阳性对照孔OD值平均值≥1.00；3.阴性对照孔OD值平均值≤0.15； 4.特异性：不与其它可溶性结构类似物交叉反应；5.重复性：板内、板间变异系数均≤15%</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GPCMV豚鼠巨细胞病毒抗体ELISA检测试剂盒</w:t>
            </w:r>
          </w:p>
        </w:tc>
        <w:tc>
          <w:tcPr>
            <w:tcW w:type="dxa" w:w="2076"/>
          </w:tcPr>
          <w:p>
            <w:pPr>
              <w:pStyle w:val="null5"/>
              <w:jc w:val="left"/>
            </w:pPr>
            <w:r>
              <w:rPr>
                <w:rFonts w:ascii="仿宋_GB2312" w:hAnsi="仿宋_GB2312" w:cs="仿宋_GB2312" w:eastAsia="仿宋_GB2312"/>
              </w:rPr>
              <w:t>1.规格：96Test/盒；2.准确性：阳性对照孔OD值平均值≥1.00；3.阴性对照孔OD值平均值≤0.15； 4.特异性：不与其它可溶性结构类似物交叉反应；5.重复性：板内、板间变异系数均≤15%</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MNV小鼠诺如病毒抗体ELISA检测试剂盒</w:t>
            </w:r>
          </w:p>
        </w:tc>
        <w:tc>
          <w:tcPr>
            <w:tcW w:type="dxa" w:w="2076"/>
          </w:tcPr>
          <w:p>
            <w:pPr>
              <w:pStyle w:val="null5"/>
              <w:jc w:val="left"/>
            </w:pPr>
            <w:r>
              <w:rPr>
                <w:rFonts w:ascii="仿宋_GB2312" w:hAnsi="仿宋_GB2312" w:cs="仿宋_GB2312" w:eastAsia="仿宋_GB2312"/>
              </w:rPr>
              <w:t>1.规格：96Test/盒；2.准确性：阳性对照孔OD值平均值≥1.00；3.阴性对照孔OD值平均值≤0.15； 4.特异性：不与其它可溶性结构类似物交叉反应；5.重复性：板内、板间变异系数均≤15%</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SDAV大鼠冠状病毒抗体ELISA检测试剂盒</w:t>
            </w:r>
          </w:p>
        </w:tc>
        <w:tc>
          <w:tcPr>
            <w:tcW w:type="dxa" w:w="2076"/>
          </w:tcPr>
          <w:p>
            <w:pPr>
              <w:pStyle w:val="null5"/>
              <w:jc w:val="left"/>
            </w:pPr>
            <w:r>
              <w:rPr>
                <w:rFonts w:ascii="仿宋_GB2312" w:hAnsi="仿宋_GB2312" w:cs="仿宋_GB2312" w:eastAsia="仿宋_GB2312"/>
              </w:rPr>
              <w:t>1.规格：96Test/盒；2.准确性：阳性对照孔OD值平均值≥1.00；3.阴性对照孔OD值平均值≤0.15； 4.特异性：不与其它可溶性结构类似物交叉反应；5.重复性：板内、板间变异系数均≤15%</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H-1大鼠细小病毒H-1株抗体ELISA检测试剂盒</w:t>
            </w:r>
          </w:p>
        </w:tc>
        <w:tc>
          <w:tcPr>
            <w:tcW w:type="dxa" w:w="2076"/>
          </w:tcPr>
          <w:p>
            <w:pPr>
              <w:pStyle w:val="null5"/>
              <w:jc w:val="left"/>
            </w:pPr>
            <w:r>
              <w:rPr>
                <w:rFonts w:ascii="仿宋_GB2312" w:hAnsi="仿宋_GB2312" w:cs="仿宋_GB2312" w:eastAsia="仿宋_GB2312"/>
              </w:rPr>
              <w:t>1.规格：96Test/盒；2.准确性：阳性对照孔OD值平均值≥1.00；3.阴性对照孔OD值平均值≤0.15； 4.特异性：不与其它可溶性结构类似物交叉反应；5.重复性：板内、板间变异系数均≤15%</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饲料托盘</w:t>
            </w:r>
          </w:p>
        </w:tc>
        <w:tc>
          <w:tcPr>
            <w:tcW w:type="dxa" w:w="2076"/>
          </w:tcPr>
          <w:p>
            <w:pPr>
              <w:pStyle w:val="null5"/>
              <w:jc w:val="left"/>
            </w:pPr>
            <w:r>
              <w:rPr>
                <w:rFonts w:ascii="仿宋_GB2312" w:hAnsi="仿宋_GB2312" w:cs="仿宋_GB2312" w:eastAsia="仿宋_GB2312"/>
              </w:rPr>
              <w:t>120*100*14cm，材质为高纯度HDPE颗粒。</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杀孢子剂</w:t>
            </w:r>
          </w:p>
        </w:tc>
        <w:tc>
          <w:tcPr>
            <w:tcW w:type="dxa" w:w="2076"/>
          </w:tcPr>
          <w:p>
            <w:pPr>
              <w:pStyle w:val="null5"/>
              <w:jc w:val="left"/>
            </w:pPr>
            <w:r>
              <w:rPr>
                <w:rFonts w:ascii="仿宋_GB2312" w:hAnsi="仿宋_GB2312" w:cs="仿宋_GB2312" w:eastAsia="仿宋_GB2312"/>
              </w:rPr>
              <w:t>1kg/瓶，主要成分：过氧化氢+银离子；5%-8%即用型</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超低微量喷雾机</w:t>
            </w:r>
          </w:p>
        </w:tc>
        <w:tc>
          <w:tcPr>
            <w:tcW w:type="dxa" w:w="2076"/>
          </w:tcPr>
          <w:p>
            <w:pPr>
              <w:pStyle w:val="null5"/>
              <w:jc w:val="left"/>
            </w:pPr>
            <w:r>
              <w:rPr>
                <w:rFonts w:ascii="仿宋_GB2312" w:hAnsi="仿宋_GB2312" w:cs="仿宋_GB2312" w:eastAsia="仿宋_GB2312"/>
              </w:rPr>
              <w:t>手提式、2.5L、雾滴直径≤30μm</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芽孢条（灭菌生物指示剂）</w:t>
            </w:r>
          </w:p>
        </w:tc>
        <w:tc>
          <w:tcPr>
            <w:tcW w:type="dxa" w:w="2076"/>
          </w:tcPr>
          <w:p>
            <w:pPr>
              <w:pStyle w:val="null5"/>
              <w:jc w:val="left"/>
            </w:pPr>
            <w:r>
              <w:rPr>
                <w:rFonts w:ascii="仿宋_GB2312" w:hAnsi="仿宋_GB2312" w:cs="仿宋_GB2312" w:eastAsia="仿宋_GB2312"/>
              </w:rPr>
              <w:t>每支试剂含嗜热脂肪杆菌芽孢片、培养基和塑料外盒，适用温度≥121℃，100支/盒</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标的名称：新西兰兔等</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新西兰兔</w:t>
            </w:r>
          </w:p>
        </w:tc>
        <w:tc>
          <w:tcPr>
            <w:tcW w:type="dxa" w:w="2076"/>
          </w:tcPr>
          <w:p>
            <w:pPr>
              <w:pStyle w:val="null5"/>
              <w:jc w:val="left"/>
            </w:pPr>
            <w:r>
              <w:rPr>
                <w:rFonts w:ascii="仿宋_GB2312" w:hAnsi="仿宋_GB2312" w:cs="仿宋_GB2312" w:eastAsia="仿宋_GB2312"/>
              </w:rPr>
              <w:t>1、活体，性别根据客户具体要求配送；2、具有省级以上实验动物主管部门颁发的实验动物生产许可证及实验动物质量合格证；3、体重范围2000-2500g</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豚鼠</w:t>
            </w:r>
          </w:p>
        </w:tc>
        <w:tc>
          <w:tcPr>
            <w:tcW w:type="dxa" w:w="2076"/>
          </w:tcPr>
          <w:p>
            <w:pPr>
              <w:pStyle w:val="null5"/>
              <w:jc w:val="left"/>
            </w:pPr>
            <w:r>
              <w:rPr>
                <w:rFonts w:ascii="仿宋_GB2312" w:hAnsi="仿宋_GB2312" w:cs="仿宋_GB2312" w:eastAsia="仿宋_GB2312"/>
              </w:rPr>
              <w:t>1、活体，性别根据客户具体要求配送；2、具有省级以上实验动物主管部门颁发的实验动物生产许可证及实验动物质量合格证；3、体重范围300-500g</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蟾蜍</w:t>
            </w:r>
          </w:p>
        </w:tc>
        <w:tc>
          <w:tcPr>
            <w:tcW w:type="dxa" w:w="2076"/>
          </w:tcPr>
          <w:p>
            <w:pPr>
              <w:pStyle w:val="null5"/>
              <w:jc w:val="left"/>
            </w:pPr>
            <w:r>
              <w:rPr>
                <w:rFonts w:ascii="仿宋_GB2312" w:hAnsi="仿宋_GB2312" w:cs="仿宋_GB2312" w:eastAsia="仿宋_GB2312"/>
              </w:rPr>
              <w:t>活体，性别根据客户具体要求配送，体重范围30-50g</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鸡</w:t>
            </w:r>
          </w:p>
        </w:tc>
        <w:tc>
          <w:tcPr>
            <w:tcW w:type="dxa" w:w="2076"/>
          </w:tcPr>
          <w:p>
            <w:pPr>
              <w:pStyle w:val="null5"/>
              <w:jc w:val="left"/>
            </w:pPr>
            <w:r>
              <w:rPr>
                <w:rFonts w:ascii="仿宋_GB2312" w:hAnsi="仿宋_GB2312" w:cs="仿宋_GB2312" w:eastAsia="仿宋_GB2312"/>
              </w:rPr>
              <w:t>活体，性别根据客户具体要求配送，体重范围2000-3000g，提供检验检疫合格证</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鸡胚</w:t>
            </w:r>
          </w:p>
        </w:tc>
        <w:tc>
          <w:tcPr>
            <w:tcW w:type="dxa" w:w="2076"/>
          </w:tcPr>
          <w:p>
            <w:pPr>
              <w:pStyle w:val="null5"/>
              <w:jc w:val="left"/>
            </w:pPr>
            <w:r>
              <w:rPr>
                <w:rFonts w:ascii="仿宋_GB2312" w:hAnsi="仿宋_GB2312" w:cs="仿宋_GB2312" w:eastAsia="仿宋_GB2312"/>
              </w:rPr>
              <w:t>10-15日龄受精鸡胚</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鲤鱼</w:t>
            </w:r>
          </w:p>
        </w:tc>
        <w:tc>
          <w:tcPr>
            <w:tcW w:type="dxa" w:w="2076"/>
          </w:tcPr>
          <w:p>
            <w:pPr>
              <w:pStyle w:val="null5"/>
              <w:jc w:val="left"/>
            </w:pPr>
            <w:r>
              <w:rPr>
                <w:rFonts w:ascii="仿宋_GB2312" w:hAnsi="仿宋_GB2312" w:cs="仿宋_GB2312" w:eastAsia="仿宋_GB2312"/>
              </w:rPr>
              <w:t>活体，体重范围1000-1500g</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河虾</w:t>
            </w:r>
          </w:p>
        </w:tc>
        <w:tc>
          <w:tcPr>
            <w:tcW w:type="dxa" w:w="2076"/>
          </w:tcPr>
          <w:p>
            <w:pPr>
              <w:pStyle w:val="null5"/>
              <w:jc w:val="left"/>
            </w:pPr>
            <w:r>
              <w:rPr>
                <w:rFonts w:ascii="仿宋_GB2312" w:hAnsi="仿宋_GB2312" w:cs="仿宋_GB2312" w:eastAsia="仿宋_GB2312"/>
              </w:rPr>
              <w:t>活体，体重范围10-30g</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鸽子</w:t>
            </w:r>
          </w:p>
        </w:tc>
        <w:tc>
          <w:tcPr>
            <w:tcW w:type="dxa" w:w="2076"/>
          </w:tcPr>
          <w:p>
            <w:pPr>
              <w:pStyle w:val="null5"/>
              <w:jc w:val="left"/>
            </w:pPr>
            <w:r>
              <w:rPr>
                <w:rFonts w:ascii="仿宋_GB2312" w:hAnsi="仿宋_GB2312" w:cs="仿宋_GB2312" w:eastAsia="仿宋_GB2312"/>
              </w:rPr>
              <w:t>活体，体重范围200-400g，提供检验检疫合格证</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货物有效期</w:t>
            </w:r>
          </w:p>
        </w:tc>
        <w:tc>
          <w:tcPr>
            <w:tcW w:type="dxa" w:w="4153"/>
          </w:tcPr>
          <w:p>
            <w:pPr>
              <w:pStyle w:val="null5"/>
              <w:jc w:val="left"/>
            </w:pPr>
            <w:r>
              <w:rPr>
                <w:rFonts w:ascii="仿宋_GB2312" w:hAnsi="仿宋_GB2312" w:cs="仿宋_GB2312" w:eastAsia="仿宋_GB2312"/>
              </w:rPr>
              <w:t>所有试剂耗材须为原厂原装、未开封、在有效期内产品;技术要求中未明确标注剩余有效期的，交货时剩余有效期不得少于产品出厂总有效期的2/3(原装未开封、正常储存条件下)。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接到采购人供货通知后，2日内送达至指定地点</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预付款，合同⽣效且具备实施条件后，成交供应商向采购⼈的项⽬负责⼈或指定⼈申请预付款，达到付款条件起7个工作日内，支付合同总金额的70.0%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进度款，项⽬验收合格后，达到付款条件起7个工作日内，支付合同总金额的30.0%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履约保证⾦：1.⾃成交公告发布之⽇起3个⼯作⽇内成交供应商向采购⼈指定账⼾缴纳合同总价的5%作为履约保证⾦（中⼩微企业为2%）。缴纳账⼾信息如下： 户名：山东省医学科学院；开户行：中国农业银行股份有限公司济南大舜支行；开户账号：15126801040005266。 2.履约保证⾦形式：电汇形式、银⾏汇票（供应商应在投标⽂件中明确具体递交形式）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质保期：针对需要质保的耗材⾃验收合格之⽇起1年，国家主管部⻔或者⾏业标准对货物本⾝有更⾼要求的，从其规定并在合同中约定。</w:t>
              <w:br/>
              <w:t>质量保证期内，如果证实货物是有缺陷的，包括潜在的缺陷或者使⽤不符合要求的材料等，供应商应⽴即维修或者更换有缺陷的货物或者部件，保证达到合同规定的技术以及性能要求。如果供应商在收到通知后5天内没有弥补缺陷，采购⼈可⾃⾏采取必要的补救措施，但⻛险和费⽤由供应商承担，采购⼈同时保留通过法律途径进⾏索赔的权利。</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接到采购人供货通知后，2日内送达至指定地点</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预付款，合同⽣效且具备实施条件后，成交供应商向采购⼈的项⽬负责⼈或指定⼈申请预付款，达到付款条件起7个工作日内，支付合同总金额的70.0%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进度款，项⽬验收合格后，达到付款条件起7个工作日内，支付合同总金额的30.0%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履约保证⾦：1.⾃成交公告发布之⽇起3个⼯作⽇内成交供应商向采购⼈指定账⼾缴纳合同总价的5%作为履约保证⾦（中⼩微企业为2%）。缴纳账⼾信息如下： 户名：山东省医学科学院；开户行：中国农业银行股份有限公司济南大舜支行；开户账号：15126801040005266。 2.履约保证⾦形式：电汇形式、银⾏汇票（供应商应在投标⽂件中明确具体递交形式）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质保期：针对需要质保的耗材⾃验收合格之⽇起1年，国家主管部⻔或者⾏业标准对货物本⾝有更⾼要求的，从其规定并在合同中约定。</w:t>
              <w:br/>
              <w:t>质量保证期内，如果证实货物是有缺陷的，包括潜在的缺陷或者使⽤不符合要求的材料等，供应商应⽴即维修或者更换有缺陷的货物或者部件，保证达到合同规定的技术以及性能要求。如果供应商在收到通知后5天内没有弥补缺陷，采购⼈可⾃⾏采取必要的补救措施，但⻛险和费⽤由供应商承担，采购⼈同时保留通过法律途径进⾏索赔的权利。</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接到采购人供货通知后，2日内送达至指定地点</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预付款，合同⽣效且具备实施条件后，成交供应商向采购⼈的项⽬负责⼈或指定⼈申请预付款，达到付款条件起7个工作日内，支付合同总金额的70.0%</w:t>
            </w:r>
            <w:r>
              <w:br/>
            </w:r>
            <w:r>
              <w:rPr>
                <w:rFonts w:ascii="仿宋_GB2312" w:hAnsi="仿宋_GB2312" w:cs="仿宋_GB2312" w:eastAsia="仿宋_GB2312"/>
              </w:rPr>
              <w:t>2、</w:t>
            </w:r>
            <w:r>
              <w:rPr>
                <w:rFonts w:ascii="仿宋_GB2312" w:hAnsi="仿宋_GB2312" w:cs="仿宋_GB2312" w:eastAsia="仿宋_GB2312"/>
              </w:rPr>
              <w:t>进度款，项⽬验收合格后，达到付款条件起7个工作日内，支付合同总金额的30.0%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履约保证⾦：1.⾃成交公告发布之⽇起3个⼯作⽇内成交供应商向采购⼈指定账⼾缴纳合同总价的5%作为履约保证⾦（中⼩微企业为2%）。缴纳账⼾信息如下： 户名：山东省医学科学院；开户行：中国农业银行股份有限公司济南大舜支行；开户账号：15126801040005266。 2.履约保证⾦形式：电汇形式、银⾏汇票（供应商应在投标⽂件中明确具体递交形式） 3.履约保证⾦在项⽬验收合格、没有任何质量问题后，由供应商向采购⼈提交申请，采购⼈按相关规定⽆息退还给供应商。 4.项⽬验收前，成交供应商应将所有合同项下所有内容完成，并经采购⼈审核通过，否则采购⼈有权拒绝验收，由此造成的法律责任、各种损失由成交供应商承担。</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以上商务要求请供应商在商务响应表中作出响应。</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1.提供的货物应符合相关⾏业标准或国家标准，如没有明确的国家标准或⾏业标准，则需满⾜合同中约定的特定质量要求。 2. 提供7×24⼩时售后服务，如货物出现问题，供应商应在接采购⼈通知后4小时内做出响应。 3.验收 （1）采购⼈应专 ⻔成⽴履约验收⼩组，验收⼈员应与采购⼈员相分离，验收应严格遵循《中华⼈⺠共和国产品质量法》等标准，符合采购⽂件 要求，投标⽂件及供应商在评审过程中做出的书⾯澄清及承诺，冲突之处执⾏最⾼标准。 （2）货物运抵现场后，供应商应派 技术⼈员到达现场，采购⼈将对货物数量、质量、规格等进⾏检验。如发现货物和规格或者两者都与采购⽂件、投标⽂件、合 同不符，采购⼈有权限根据检验结果要求供应商⽴即更换或者提出索赔要求。 （3）货物由供应商进⾏储存、运输，并承担因 此发⽣的⼀切费⽤。采购⼈应对货物的数量、质量、规格、性能等进⾏详细⽽全⾯的检验。供应商应向采购⼈提供详细的 验收标准和验收⼿册。供货完毕后，证明货物以及运输、储存⽆任何问题，由采购⼈组成的验收⼩组签署验收报告，作为付款 凭据之⼀。 （4）对安装有特殊要求的货物，供应商应在合同签订后10个⼯作⽇内以书⾯形式向采购⼈提出安装场地环境要 求，采购⼈负责安装场地的准备。 （5）由采购⼈组织验收⼩组进⾏项⽬履约验收，验收前将根据项⽬特点、采购⽂件、中标 ⼈投标⽂件及校内规定制定验收⽅案，执⾏验收意⻅，出具验收意⻅，并填报履约验收书。每批次验收需填写留存验收合格单，最后一次供货完成后，将所有验收合格单作为财务报销凭据之⼀。：</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1.提供的货物应符合相关⾏业标准或国家标准，如没有明确的国家标准或⾏业标准，则需满⾜合同中约定的特定质量要求。 2. 提供7×24⼩时售后服务，如货物出现问题，供应商应在接采购⼈通知后4小时内做出响应。 3.验收 （1）采购⼈应专 ⻔成⽴履约验收⼩组，验收⼈员应与采购⼈员相分离，验收应严格遵循《中华⼈⺠共和国产品质量法》等标准，符合采购⽂件 要求，投标⽂件及供应商在评审过程中做出的书⾯澄清及承诺，冲突之处执⾏最⾼标准。 （2）货物运抵现场后，供应商应派 技术⼈员到达现场，采购⼈将对货物数量、质量、规格等进⾏检验。如发现货物和规格或者两者都与采购⽂件、投标⽂件、合 同不符，采购⼈有权限根据检验结果要求供应商⽴即更换或者提出索赔要求。 （3）货物由供应商进⾏储存、运输，并承担因 此发⽣的⼀切费⽤。采购⼈应对货物的数量、质量、规格、性能等进⾏详细⽽全⾯的检验。供应商应向采购⼈提供详细的 验收标准和验收⼿册。供货完毕后，证明货物以及运输、储存⽆任何问题，由采购⼈组成的验收⼩组签署验收报告，作为付款 凭据之⼀。 （4）对安装有特殊要求的货物，供应商应在合同签订后10个⼯作⽇内以书⾯形式向采购⼈提出安装场地环境要 求，采购⼈负责安装场地的准备。 （5）由采购⼈组织验收⼩组进⾏项⽬履约验收，验收前将根据项⽬特点、采购⽂件、中标 ⼈投标⽂件及校内规定制定验收⽅案，执⾏验收意⻅，出具验收意⻅，并填报履约验收书。验收须留存验收合格单，作为财务 报销凭据之⼀。：</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1.提供的货物应符合相关⾏业标准或国家标准，如没有明确的国家标准或⾏业标准，则需满⾜合同中约定的特定质量要求。 2. 提供7×24⼩时售后服务，如货物出现问题，供应商应在接采购⼈通知后4小时内做出响应。 3.验收 （1）采购⼈应专 ⻔成⽴履约验收⼩组，验收⼈员应与采购⼈员相分离，验收应严格遵循《中华⼈⺠共和国产品质量法》等标准，符合采购⽂件 要求，投标⽂件及供应商在评审过程中做出的书⾯澄清及承诺，冲突之处执⾏最⾼标准。 （2）货物运抵现场后，供应商应派 技术⼈员到达现场，采购⼈将对货物数量、质量、规格等进⾏检验。如发现货物和规格或者两者都与采购⽂件、投标⽂件、合 同不符，采购⼈有权限根据检验结果要求供应商⽴即更换或者提出索赔要求。 （3）货物由供应商进⾏储存、运输，并承担因 此发⽣的⼀切费⽤。采购⼈应对货物的数量、质量、规格、性能等进⾏详细⽽全⾯的检验。供应商应向采购⼈提供详细的 验收标准和验收⼿册。供货完毕后，证明货物以及运输、储存⽆任何问题，由采购⼈组成的验收⼩组签署验收报告，作为付款 凭据之⼀。 （4）对安装有特殊要求的货物，供应商应在合同签订后10个⼯作⽇内以书⾯形式向采购⼈提出安装场地环境要 求，采购⼈负责安装场地的准备。 （5）由采购⼈组织验收⼩组进⾏项⽬履约验收，验收前将根据项⽬特点、采购⽂件、中标 ⼈投标⽂件及校内规定制定验收⽅案，执⾏验收意⻅，出具验收意⻅，并填报履约验收书。每批次验收需填写留存验收合格单，最后一次供货完成后，将所有验收合格单作为财务报销凭据之⼀。：</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信用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供应商须具有依法缴纳税收和社会保障资金的良好记录，须提供信用承诺函或相关证明材料。如提供证明材料，则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供应商提供具有履行政府采购合同所必需的设备和专业技术能力的声明函，加盖公章。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供应商须提供书面声明，加盖公章。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供应商应提交的相关证明材料、自觉抵制政府采购领域商业贿赂行为承诺书</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信用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供应商须具有依法缴纳税收和社会保障资金的良好记录，须提供信用承诺函或相关证明材料。如提供证明材料，则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投标人承诺函、无重大违法记录声明函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供应商提供具有履行政府采购合同所必需的设备和专业技术能力的声明函，加盖公章。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供应商须提供书面声明，加盖公章。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其他材料、供应商应提交的相关证明材料、封面</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供应商应提交的相关证明材料、自觉抵制政府采购领域商业贿赂行为承诺书</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具备独立承担民事责任能力的证明文件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具有良好的商业信誉和健全的财务会计制度，须提供信用承诺函或相关证明材料。如提供证明材料，则:提供2025年财务会计报表或2025年经审计的财务报告(包括资产负债表、利润表、现金流量表)，或投标文件递交截止时间前六个月内基本开户银行出具的资信证明;成立时间较短的供应商，可提供成立至今的相关证明材料。</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供应商须具有依法缴纳税收和社会保障资金的良好记录，须提供信用承诺函或相关证明材料。如提供证明材料，则</w:t>
            </w:r>
          </w:p>
        </w:tc>
        <w:tc>
          <w:tcPr>
            <w:tcW w:type="dxa" w:w="3322"/>
          </w:tcPr>
          <w:p>
            <w:pPr>
              <w:pStyle w:val="null5"/>
              <w:jc w:val="left"/>
            </w:pPr>
            <w:r>
              <w:rPr>
                <w:rFonts w:ascii="仿宋_GB2312" w:hAnsi="仿宋_GB2312" w:cs="仿宋_GB2312" w:eastAsia="仿宋_GB2312"/>
              </w:rPr>
              <w:t>1.缴纳税收的证明材料，应提供投标文件递交截止时间前六个月内任意一个月的依法缴税凭据，缴纳社会保障资金的证明材料，应提供投标文件递交截止时间前六个月内任意一个月内缴纳社会保险的凭据，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供应商应提交的相关证明材料、商业信誉、财务会计制度、缴纳税收和社保的承诺函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供应商须提供参加政府采购活动前三年内在经营活动中没有重大违法记录的书面声明，加盖公章。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供应商提供具有履行政府采购合同所必需的设备和专业技术能力的声明函，加盖公章。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供应商须提供书面声明，加盖公章。</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供应商在“信用中国”、“中国政府采购网”、“信用山东”网站（https://credit.shandong.gov.cn/）等网站被列入失信被执行人名单、重大税收违法案件当事人名单（重大税收违法失信主体）、政府采购严重违法失信行为记录名单、严重违法失信企业名单中的，不得参加本项目的采购活动。</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供应商应提交的相关证明材料、自觉抵制政府采购领域商业贿赂行为承诺书</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其中由山东省政府采购评审专家库产生的评审专家4人，</w:t>
      </w:r>
      <w:r>
        <w:rPr>
          <w:rFonts w:ascii="仿宋_GB2312" w:hAnsi="仿宋_GB2312" w:cs="仿宋_GB2312" w:eastAsia="仿宋_GB2312"/>
        </w:rPr>
        <w:t>由采购人派出的采购人代表1人。</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投标人承诺函、供应商应提交的相关证明材料、封面、法定代表人资格证明书或法定代表人授权委托书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投标人承诺函、投标函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供应商应提交的相关证明材料、封面、法定代表人资格证明书或法定代表人授权委托书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其他材料、供应商应提交的相关证明材料、封面、法定代表人资格证明书或法定代表人授权委托书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商务响应表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技术部分51.00分</w:t>
            </w:r>
          </w:p>
          <w:p>
            <w:pPr>
              <w:pStyle w:val="null5"/>
              <w:jc w:val="left"/>
            </w:pPr>
            <w:r>
              <w:rPr>
                <w:rFonts w:ascii="仿宋_GB2312" w:hAnsi="仿宋_GB2312" w:cs="仿宋_GB2312" w:eastAsia="仿宋_GB2312"/>
              </w:rPr>
              <w:t>商务部分19.00分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评标委员会对投标文件技术条款进行评审，技术参数全部满足招标文件要求得20分，对非实质性要求如有负偏离，每存在一项扣1分，扣完为止。</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项目理解与重难点分析</w:t>
            </w:r>
          </w:p>
        </w:tc>
        <w:tc>
          <w:tcPr>
            <w:tcW w:type="dxa" w:w="2575"/>
          </w:tcPr>
          <w:p>
            <w:pPr>
              <w:pStyle w:val="null5"/>
              <w:jc w:val="left"/>
            </w:pPr>
            <w:r>
              <w:rPr>
                <w:rFonts w:ascii="仿宋_GB2312" w:hAnsi="仿宋_GB2312" w:cs="仿宋_GB2312" w:eastAsia="仿宋_GB2312"/>
              </w:rPr>
              <w:t>投标人应根据项目特点，综合分析该项目的重点和难点。表述详细、合理且完全满足本项目需求得满分5分，每存在一处不足或不完善扣0.5分，扣完为止，缺项不得分。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供货组织方案</w:t>
            </w:r>
          </w:p>
        </w:tc>
        <w:tc>
          <w:tcPr>
            <w:tcW w:type="dxa" w:w="2575"/>
          </w:tcPr>
          <w:p>
            <w:pPr>
              <w:pStyle w:val="null5"/>
              <w:jc w:val="left"/>
            </w:pPr>
            <w:r>
              <w:rPr>
                <w:rFonts w:ascii="仿宋_GB2312" w:hAnsi="仿宋_GB2312" w:cs="仿宋_GB2312" w:eastAsia="仿宋_GB2312"/>
              </w:rPr>
              <w:t>根据供应商提供的供货组织方案进行综合评审，包括货物的包装、运输及到货验收，以上三项每项内容逻辑清晰、切实可行且满足本项目需求可得3分，满分9分，每项内容每存在一处不足或不完善扣0.5分，扣完为止，不提供的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p>
            <w:pPr>
              <w:pStyle w:val="null5"/>
              <w:jc w:val="left"/>
            </w:pPr>
            <w:r>
              <w:rPr>
                <w:rFonts w:ascii="仿宋_GB2312" w:hAnsi="仿宋_GB2312" w:cs="仿宋_GB2312" w:eastAsia="仿宋_GB2312"/>
              </w:rPr>
              <w:t>项目拟投入人员情况一览表</w:t>
            </w:r>
          </w:p>
        </w:tc>
      </w:tr>
      <w:tr>
        <w:tc>
          <w:tcPr>
            <w:tcW w:type="dxa" w:w="831"/>
            <w:vMerge/>
          </w:tcPr>
          <w:p/>
        </w:tc>
        <w:tc>
          <w:tcPr>
            <w:tcW w:type="dxa" w:w="1661"/>
          </w:tcPr>
          <w:p>
            <w:pPr>
              <w:pStyle w:val="null5"/>
              <w:jc w:val="left"/>
            </w:pPr>
            <w:r>
              <w:rPr>
                <w:rFonts w:ascii="仿宋_GB2312" w:hAnsi="仿宋_GB2312" w:cs="仿宋_GB2312" w:eastAsia="仿宋_GB2312"/>
              </w:rPr>
              <w:t>换货及应急方案</w:t>
            </w:r>
          </w:p>
        </w:tc>
        <w:tc>
          <w:tcPr>
            <w:tcW w:type="dxa" w:w="2575"/>
          </w:tcPr>
          <w:p>
            <w:pPr>
              <w:pStyle w:val="null5"/>
              <w:jc w:val="left"/>
            </w:pPr>
            <w:r>
              <w:rPr>
                <w:rFonts w:ascii="仿宋_GB2312" w:hAnsi="仿宋_GB2312" w:cs="仿宋_GB2312" w:eastAsia="仿宋_GB2312"/>
              </w:rPr>
              <w:t>根据供应商提供的活体小动物更换方案、紧急、突发情况的应对和供应措施等进行综合评审，方案内容逻辑清晰、切实可行且满足本项目需求得8分，每项内容每存在一处不足或不完善扣0.5分，扣完为止，不提供的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根据投标人供货质量、进度、安全等保障措施进行综合评审： 保障措施完全满足项目需求，措施具体可行、有针对性得9分；如方案内容不切实际、没有针对性等情形，每存在一项扣0.5分，对于偏差内容较大之处，每存在一项扣1分。扣完为止。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根据投标人①服务机构和人员设置，②服务方案，③响应时间及响应程度，④解决问题的能力和特殊事故处理预案进行综合评审，以上四项每项完全满足招标文件要求，得4分，共16分。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售后服务方案</w:t>
            </w:r>
          </w:p>
        </w:tc>
      </w:tr>
      <w:tr>
        <w:tc>
          <w:tcPr>
            <w:tcW w:type="dxa" w:w="831"/>
            <w:vMerge/>
          </w:tcP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2023年7月1日以来（以合同签订日为准）投标人完成同类项目业绩，每提供1个业绩合同得1分，最高得3分。（注：投标人需在投标文件中提供合同原件扫描件并加盖投标人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（1）小鼠等响应报价低于全部通过符合性审查供应商响应报价平均值50%的，即小鼠等响应报价&lt;全部通过符合性审查供应商响应报价平均值×50%。 （2）小鼠等响应报价低于通过符合性审查且报价次低供应商响应报价50%的，即小鼠等响应报价&lt;通过符合性审查且报价次低供应商响应报价×50%。 （3）小鼠等响应报价低于最高限价45%的，即小鼠等响应报价&lt;最高限价×45%。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投标报价</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评标委员会对投标文件技术条款进行评审，技术参数全部满足招标文件要求得24分，对非实质性要求如有负偏离，每有一项扣1分，扣完为止。</w:t>
            </w:r>
          </w:p>
        </w:tc>
        <w:tc>
          <w:tcPr>
            <w:tcW w:type="dxa" w:w="831"/>
          </w:tcPr>
          <w:p>
            <w:pPr>
              <w:pStyle w:val="null5"/>
              <w:jc w:val="center"/>
            </w:pPr>
            <w:r>
              <w:rPr>
                <w:rFonts w:ascii="仿宋_GB2312" w:hAnsi="仿宋_GB2312" w:cs="仿宋_GB2312" w:eastAsia="仿宋_GB2312"/>
              </w:rPr>
              <w:t>24.0000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项目理解与重难点分析</w:t>
            </w:r>
          </w:p>
        </w:tc>
        <w:tc>
          <w:tcPr>
            <w:tcW w:type="dxa" w:w="2575"/>
          </w:tcPr>
          <w:p>
            <w:pPr>
              <w:pStyle w:val="null5"/>
              <w:jc w:val="left"/>
            </w:pPr>
            <w:r>
              <w:rPr>
                <w:rFonts w:ascii="仿宋_GB2312" w:hAnsi="仿宋_GB2312" w:cs="仿宋_GB2312" w:eastAsia="仿宋_GB2312"/>
              </w:rPr>
              <w:t>投标人应根据项目特点，综合分析该项目的重点和难点。方案全面、有针对性的得3分，每存在一项不完善或不合理扣0.5分，对于偏差内容较大之处，每存在一项扣1分。扣完为止。</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供货组织方案</w:t>
            </w:r>
          </w:p>
        </w:tc>
        <w:tc>
          <w:tcPr>
            <w:tcW w:type="dxa" w:w="2575"/>
          </w:tcPr>
          <w:p>
            <w:pPr>
              <w:pStyle w:val="null5"/>
              <w:jc w:val="left"/>
            </w:pPr>
            <w:r>
              <w:rPr>
                <w:rFonts w:ascii="仿宋_GB2312" w:hAnsi="仿宋_GB2312" w:cs="仿宋_GB2312" w:eastAsia="仿宋_GB2312"/>
              </w:rPr>
              <w:t>根据投标人供货组织方案，包括货物的采买、包装、运输、到货验收等内容进行综合评审：供货组织方案完全满足项目需求，完整具体、切实可行、有针对性得满分12分；如供货方案存在内容不合理、实施难度大、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p>
            <w:pPr>
              <w:pStyle w:val="null5"/>
              <w:jc w:val="left"/>
            </w:pPr>
            <w:r>
              <w:rPr>
                <w:rFonts w:ascii="仿宋_GB2312" w:hAnsi="仿宋_GB2312" w:cs="仿宋_GB2312" w:eastAsia="仿宋_GB2312"/>
              </w:rPr>
              <w:t>项目拟投入人员情况一览表</w:t>
            </w:r>
          </w:p>
        </w:tc>
      </w:tr>
      <w:tr>
        <w:tc>
          <w:tcPr>
            <w:tcW w:type="dxa" w:w="831"/>
            <w:vMerge/>
          </w:tcPr>
          <w:p/>
        </w:tc>
        <w:tc>
          <w:tcPr>
            <w:tcW w:type="dxa" w:w="1661"/>
          </w:tcPr>
          <w:p>
            <w:pPr>
              <w:pStyle w:val="null5"/>
              <w:jc w:val="left"/>
            </w:pPr>
            <w:r>
              <w:rPr>
                <w:rFonts w:ascii="仿宋_GB2312" w:hAnsi="仿宋_GB2312" w:cs="仿宋_GB2312" w:eastAsia="仿宋_GB2312"/>
              </w:rPr>
              <w:t>应急方案</w:t>
            </w:r>
          </w:p>
        </w:tc>
        <w:tc>
          <w:tcPr>
            <w:tcW w:type="dxa" w:w="2575"/>
          </w:tcPr>
          <w:p>
            <w:pPr>
              <w:pStyle w:val="null5"/>
              <w:jc w:val="left"/>
            </w:pPr>
            <w:r>
              <w:rPr>
                <w:rFonts w:ascii="仿宋_GB2312" w:hAnsi="仿宋_GB2312" w:cs="仿宋_GB2312" w:eastAsia="仿宋_GB2312"/>
              </w:rPr>
              <w:t>根据投标人提供的紧急、突发情况的应对和供应措施进行评审，方案完整具体、应急措施得当、符合采购人要求的得7分，每存在一处方案不合理、内容不详实、方案不切实际等情况扣0.5分，扣完为止。</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根据投标人供货质量、进度、安全等保障措施进行综合评审： 保障措施完全满足项目需求，措施具体可行、有针对性得9分；如方案内容不切实际、没有针对性等情形，每存在一项扣0.5分，对于偏差内容较大之处，每存在一项扣1分。扣完为止。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根据投标人①服务机构和人员设置、②服务方案、③响应时间及响应程度，④解决问题的能力和特殊事故处理预案等进行综合评审，以上四项每项完全满足招标文件要求，得3分，共12分。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售后服务方案</w:t>
            </w:r>
          </w:p>
        </w:tc>
      </w:tr>
      <w:tr>
        <w:tc>
          <w:tcPr>
            <w:tcW w:type="dxa" w:w="831"/>
            <w:vMerge/>
          </w:tcP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2023年7月1日以来（以合同签订日为准）投标人完成同类项目业绩，每提供1个业绩合同得1分，最高得3分。（注：投标人需在投标文件中提供合同原件扫描件并加盖投标人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（1）杀孢子剂等响应报价低于全部通过符合性审查供应商响应报价平均值50%的，即杀孢子剂等响应报价&lt;全部通过符合性审查供应商响应报价平均值×50%。 （2）杀孢子剂等响应报价低于通过符合性审查且报价次低供应商响应报价50%的，即杀孢子剂等响应报价&lt;通过符合性审查且报价次低供应商响应报价×50%。 （3）杀孢子剂等响应报价低于最高限价45%的，即杀孢子剂等响应报价&lt;最高限价×45%。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投标报价</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技术部分51.00分</w:t>
            </w:r>
          </w:p>
          <w:p>
            <w:pPr>
              <w:pStyle w:val="null5"/>
              <w:jc w:val="left"/>
            </w:pPr>
            <w:r>
              <w:rPr>
                <w:rFonts w:ascii="仿宋_GB2312" w:hAnsi="仿宋_GB2312" w:cs="仿宋_GB2312" w:eastAsia="仿宋_GB2312"/>
              </w:rPr>
              <w:t>商务部分19.00分</w:t>
            </w:r>
          </w:p>
          <w:p>
            <w:pPr>
              <w:pStyle w:val="null5"/>
              <w:jc w:val="left"/>
            </w:pPr>
            <w:r>
              <w:rPr>
                <w:rFonts w:ascii="仿宋_GB2312" w:hAnsi="仿宋_GB2312" w:cs="仿宋_GB2312" w:eastAsia="仿宋_GB2312"/>
              </w:rPr>
              <w:t>报价得分30.00分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技术条款响应</w:t>
            </w:r>
          </w:p>
        </w:tc>
        <w:tc>
          <w:tcPr>
            <w:tcW w:type="dxa" w:w="2575"/>
          </w:tcPr>
          <w:p>
            <w:pPr>
              <w:pStyle w:val="null5"/>
              <w:jc w:val="left"/>
            </w:pPr>
            <w:r>
              <w:rPr>
                <w:rFonts w:ascii="仿宋_GB2312" w:hAnsi="仿宋_GB2312" w:cs="仿宋_GB2312" w:eastAsia="仿宋_GB2312"/>
              </w:rPr>
              <w:t>评标委员会对投标文件技术条款进行评审，技术参数全部满足招标文件要求得22分，对非实质性要求如有负偏离，每有一项扣2分，扣完为止。</w:t>
            </w:r>
          </w:p>
        </w:tc>
        <w:tc>
          <w:tcPr>
            <w:tcW w:type="dxa" w:w="831"/>
          </w:tcPr>
          <w:p>
            <w:pPr>
              <w:pStyle w:val="null5"/>
              <w:jc w:val="center"/>
            </w:pPr>
            <w:r>
              <w:rPr>
                <w:rFonts w:ascii="仿宋_GB2312" w:hAnsi="仿宋_GB2312" w:cs="仿宋_GB2312" w:eastAsia="仿宋_GB2312"/>
              </w:rPr>
              <w:t>22.0000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技术参数响应表</w:t>
            </w:r>
          </w:p>
        </w:tc>
      </w:tr>
      <w:tr>
        <w:tc>
          <w:tcPr>
            <w:tcW w:type="dxa" w:w="831"/>
            <w:vMerge/>
          </w:tcPr>
          <w:p/>
        </w:tc>
        <w:tc>
          <w:tcPr>
            <w:tcW w:type="dxa" w:w="1661"/>
          </w:tcPr>
          <w:p>
            <w:pPr>
              <w:pStyle w:val="null5"/>
              <w:jc w:val="left"/>
            </w:pPr>
            <w:r>
              <w:rPr>
                <w:rFonts w:ascii="仿宋_GB2312" w:hAnsi="仿宋_GB2312" w:cs="仿宋_GB2312" w:eastAsia="仿宋_GB2312"/>
              </w:rPr>
              <w:t>项目理解与重难点分析</w:t>
            </w:r>
          </w:p>
        </w:tc>
        <w:tc>
          <w:tcPr>
            <w:tcW w:type="dxa" w:w="2575"/>
          </w:tcPr>
          <w:p>
            <w:pPr>
              <w:pStyle w:val="null5"/>
              <w:jc w:val="left"/>
            </w:pPr>
            <w:r>
              <w:rPr>
                <w:rFonts w:ascii="仿宋_GB2312" w:hAnsi="仿宋_GB2312" w:cs="仿宋_GB2312" w:eastAsia="仿宋_GB2312"/>
              </w:rPr>
              <w:t>投标人应根据项目特点，综合分析该项目的重点和难点。方案全面、有针对性的得3分，每存在一项不完善或不合理扣0.5分，对于偏差内容较大之处，每存在一项扣1分。扣完为止。</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供货组织方案</w:t>
            </w:r>
          </w:p>
        </w:tc>
        <w:tc>
          <w:tcPr>
            <w:tcW w:type="dxa" w:w="2575"/>
          </w:tcPr>
          <w:p>
            <w:pPr>
              <w:pStyle w:val="null5"/>
              <w:jc w:val="left"/>
            </w:pPr>
            <w:r>
              <w:rPr>
                <w:rFonts w:ascii="仿宋_GB2312" w:hAnsi="仿宋_GB2312" w:cs="仿宋_GB2312" w:eastAsia="仿宋_GB2312"/>
              </w:rPr>
              <w:t>根据投标人供货组织方案，包括货物的包装、运输及到货验收等内容进行综合评审：供货组织方案完全满足项目需求，完整具体、切实可行、有针对性得满分9分；如供货方案存在内容不合理、实施难度大、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p>
            <w:pPr>
              <w:pStyle w:val="null5"/>
              <w:jc w:val="left"/>
            </w:pPr>
            <w:r>
              <w:rPr>
                <w:rFonts w:ascii="仿宋_GB2312" w:hAnsi="仿宋_GB2312" w:cs="仿宋_GB2312" w:eastAsia="仿宋_GB2312"/>
              </w:rPr>
              <w:t>项目拟投入人员情况一览表</w:t>
            </w:r>
          </w:p>
        </w:tc>
      </w:tr>
      <w:tr>
        <w:tc>
          <w:tcPr>
            <w:tcW w:type="dxa" w:w="831"/>
            <w:vMerge/>
          </w:tcPr>
          <w:p/>
        </w:tc>
        <w:tc>
          <w:tcPr>
            <w:tcW w:type="dxa" w:w="1661"/>
          </w:tcPr>
          <w:p>
            <w:pPr>
              <w:pStyle w:val="null5"/>
              <w:jc w:val="left"/>
            </w:pPr>
            <w:r>
              <w:rPr>
                <w:rFonts w:ascii="仿宋_GB2312" w:hAnsi="仿宋_GB2312" w:cs="仿宋_GB2312" w:eastAsia="仿宋_GB2312"/>
              </w:rPr>
              <w:t>换货及应急方案</w:t>
            </w:r>
          </w:p>
        </w:tc>
        <w:tc>
          <w:tcPr>
            <w:tcW w:type="dxa" w:w="2575"/>
          </w:tcPr>
          <w:p>
            <w:pPr>
              <w:pStyle w:val="null5"/>
              <w:jc w:val="left"/>
            </w:pPr>
            <w:r>
              <w:rPr>
                <w:rFonts w:ascii="仿宋_GB2312" w:hAnsi="仿宋_GB2312" w:cs="仿宋_GB2312" w:eastAsia="仿宋_GB2312"/>
              </w:rPr>
              <w:t>根据投标人提供的活体小动物更换方案，以及紧急、突发情况的应对、供应措施等进行评审，方案完整具体、换货及时、应急措施得当、符合采购人要求的得8分，每存在一处方案不合理、内容不详实、方案不切实际等情况扣0.5分，扣完为止。</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tcPr>
          <w:p/>
        </w:tc>
        <w:tc>
          <w:tcPr>
            <w:tcW w:type="dxa" w:w="1661"/>
          </w:tcPr>
          <w:p>
            <w:pPr>
              <w:pStyle w:val="null5"/>
              <w:jc w:val="left"/>
            </w:pPr>
            <w:r>
              <w:rPr>
                <w:rFonts w:ascii="仿宋_GB2312" w:hAnsi="仿宋_GB2312" w:cs="仿宋_GB2312" w:eastAsia="仿宋_GB2312"/>
              </w:rPr>
              <w:t>保障措施</w:t>
            </w:r>
          </w:p>
        </w:tc>
        <w:tc>
          <w:tcPr>
            <w:tcW w:type="dxa" w:w="2575"/>
          </w:tcPr>
          <w:p>
            <w:pPr>
              <w:pStyle w:val="null5"/>
              <w:jc w:val="left"/>
            </w:pPr>
            <w:r>
              <w:rPr>
                <w:rFonts w:ascii="仿宋_GB2312" w:hAnsi="仿宋_GB2312" w:cs="仿宋_GB2312" w:eastAsia="仿宋_GB2312"/>
              </w:rPr>
              <w:t>根据投标人供货质量、进度、安全等保障措施进行综合评审： 保障措施完全满足项目需求，措施具体可行、有针对性得9分；如方案内容不切实际、没有针对性等情形，每存在一项扣0.5分，对于偏差内容较大之处，每存在一项扣1分。扣完为止。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技术评审内容</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售后服务</w:t>
            </w:r>
          </w:p>
        </w:tc>
        <w:tc>
          <w:tcPr>
            <w:tcW w:type="dxa" w:w="2575"/>
          </w:tcPr>
          <w:p>
            <w:pPr>
              <w:pStyle w:val="null5"/>
              <w:jc w:val="left"/>
            </w:pPr>
            <w:r>
              <w:rPr>
                <w:rFonts w:ascii="仿宋_GB2312" w:hAnsi="仿宋_GB2312" w:cs="仿宋_GB2312" w:eastAsia="仿宋_GB2312"/>
              </w:rPr>
              <w:t>根据投标人①服务机构和人员设置，②服务方案，③响应时间及响应程度，④解决问题的能力和特殊事故处理预案进行综合评审，以上四项每项完全满足招标文件要求，得4分，共16分。 其中服务机构设置不合理、服务方案考虑不周全、人员配置不合理响应不够充分、解决问题能力较弱，以上内容每存在一项扣0.5分，对于偏差内容较大之处，每存在一项扣1分，扣完为止。</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售后服务方案</w:t>
            </w:r>
          </w:p>
        </w:tc>
      </w:tr>
      <w:tr>
        <w:tc>
          <w:tcPr>
            <w:tcW w:type="dxa" w:w="831"/>
            <w:vMerge/>
          </w:tcP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2023年7月1日以来（以合同签订日为准）投标人完成同类项目业绩，每提供1个业绩合同得1分，最高得3分。（注：投标人需在投标文件中提供合同原件扫描件并加盖投标人公章，未按上述要求提供的业绩均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（1）新西兰兔等响应报价低于全部通过符合性审查供应商响应报价平均值50%的，即新西兰兔等响应报价&lt;全部通过符合性审查供应商响应报价平均值×50%。 （2）新西兰兔等响应报价低于通过符合性审查且报价次低供应商响应报价50%的，即新西兰兔等响应报价&lt;通过符合性审查且报价次低供应商响应报价×50%。 （3）新西兰兔等响应报价低于最高限价45%的，即新西兰兔等响应报价&lt;最高限价×45%。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投标报价</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投标（响应）报价明细表、开标（报价）一览表、中小企业声明函、残疾人福利性单位声明函、监狱企业的证明文件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5"/>
              <w:jc w:val="left"/>
            </w:pPr>
            <w:r>
              <w:rPr>
                <w:rFonts w:ascii="仿宋_GB2312" w:hAnsi="仿宋_GB2312" w:cs="仿宋_GB2312" w:eastAsia="仿宋_GB2312"/>
              </w:rPr>
              <w:t>关于本国产品成本占比的承诺函、其他材料、关于符合本国产品标准的声明函</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（1）小鼠等响应报价低于全部通过符合性审查供应商响应报价平均值50%的，即小鼠等响应报价&lt;全部通过符合性审查供应商响应报价平均值×50%。</w:t>
              <w:br/>
              <w:t>（2）小鼠等响应报价低于通过符合性审查且报价次低供应商响应报价50%的，即小鼠等响应报价&lt;通过符合性审查且报价次低供应商响应报价×50%。</w:t>
              <w:br/>
              <w:t>（3）小鼠等响应报价低于最高限价45%的，即小鼠等响应报价&lt;最高限价×45%。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（1）杀孢子剂等响应报价低于全部通过符合性审查供应商响应报价平均值50%的，即杀孢子剂等响应报价&lt;全部通过符合性审查供应商响应报价平均值×50%。</w:t>
              <w:br/>
              <w:t>（2）杀孢子剂等响应报价低于通过符合性审查且报价次低供应商响应报价50%的，即杀孢子剂等响应报价&lt;通过符合性审查且报价次低供应商响应报价×50%。</w:t>
              <w:br/>
              <w:t>（3）杀孢子剂等响应报价低于最高限价45%的，即杀孢子剂等响应报价&lt;最高限价×45%。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（1）新西兰兔等响应报价低于全部通过符合性审查供应商响应报价平均值50%的，即新西兰兔等响应报价&lt;全部通过符合性审查供应商响应报价平均值×50%。</w:t>
              <w:br/>
              <w:t>（2）新西兰兔等响应报价低于通过符合性审查且报价次低供应商响应报价50%的，即新西兰兔等响应报价&lt;通过符合性审查且报价次低供应商响应报价×50%。</w:t>
              <w:br/>
              <w:t>（3）新西兰兔等响应报价低于最高限价45%的，即新西兰兔等响应报价&lt;最高限价×45%。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生物试剂盒</w:t>
            </w:r>
          </w:p>
        </w:tc>
        <w:tc>
          <w:tcPr>
            <w:tcW w:type="dxa" w:w="3115"/>
          </w:tcPr>
          <w:p>
            <w:pPr>
              <w:pStyle w:val="null5"/>
              <w:jc w:val="left"/>
            </w:pPr>
            <w:r>
              <w:rPr>
                <w:rFonts w:ascii="仿宋_GB2312" w:hAnsi="仿宋_GB2312" w:cs="仿宋_GB2312" w:eastAsia="仿宋_GB2312"/>
              </w:rPr>
              <w:t>杀孢子剂等</w:t>
            </w:r>
          </w:p>
        </w:tc>
        <w:tc>
          <w:tcPr>
            <w:tcW w:type="dxa" w:w="2076"/>
          </w:tcPr>
          <w:p>
            <w:pPr>
              <w:pStyle w:val="null5"/>
              <w:jc w:val="left"/>
            </w:pPr>
            <w:r>
              <w:rPr>
                <w:rFonts w:ascii="仿宋_GB2312" w:hAnsi="仿宋_GB2312" w:cs="仿宋_GB2312" w:eastAsia="仿宋_GB2312"/>
              </w:rPr>
              <w:t>杀孢子剂等</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详见附件：关于符合本国产品标准的声明函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详见附件：关于本国产品成本占比的承诺函</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详见附件：商务响应表</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详见附件：技术评审内容</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详见附件：技术评审内容</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详见附件：售后服务方案</w:t>
      </w:r>
    </w:p>
    <w:p>
      <w:pPr>
        <w:pStyle w:val="null5"/>
        <w:ind w:firstLine="960"/>
        <w:jc w:val="left"/>
      </w:pPr>
      <w:r>
        <w:rPr>
          <w:rFonts w:ascii="仿宋_GB2312" w:hAnsi="仿宋_GB2312" w:cs="仿宋_GB2312" w:eastAsia="仿宋_GB2312"/>
        </w:rPr>
        <w:t>详见附件：技术评审内容</w:t>
      </w:r>
    </w:p>
    <w:p>
      <w:pPr>
        <w:pStyle w:val="null5"/>
        <w:ind w:firstLine="960"/>
        <w:jc w:val="left"/>
      </w:pPr>
      <w:r>
        <w:rPr>
          <w:rFonts w:ascii="仿宋_GB2312" w:hAnsi="仿宋_GB2312" w:cs="仿宋_GB2312" w:eastAsia="仿宋_GB2312"/>
        </w:rPr>
        <w:t>详见附件：项目拟投入人员情况一览表</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详见附件：具备独立承担民事责任能力的证明文件</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详见附件：山东省政府采购合同（货物模板）.docx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