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山东第一医科大学（山东省医学科学院）全自动显微扫描与稀有细胞富集平台技术开发服务项目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SDGP370000000202602005954</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山东天惠兴招标咨询有限公司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山东天惠兴招标咨询有限公司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（以下简称“采购人”）委托，对</w:t>
      </w:r>
      <w:r>
        <w:rPr>
          <w:rFonts w:ascii="仿宋_GB2312" w:hAnsi="仿宋_GB2312" w:cs="仿宋_GB2312" w:eastAsia="仿宋_GB2312"/>
        </w:rPr>
        <w:t>山东第一医科大学（山东省医学科学院）全自动显微扫描与稀有细胞富集平台技术开发服务项目</w:t>
      </w:r>
      <w:r>
        <w:rPr>
          <w:rFonts w:ascii="仿宋_GB2312" w:hAnsi="仿宋_GB2312" w:cs="仿宋_GB2312" w:eastAsia="仿宋_GB2312"/>
        </w:rPr>
        <w:t xml:space="preserve"> 采用竞争性磋商方式进行采购，兹邀请潜在供应商参加。本项目为山东省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SDGP370000000202602005954</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山东第一医科大学（山东省医学科学院）全自动显微扫描与稀有细胞富集平台技术开发服务项目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第一医科大学（山东省医学科学院）全自动显微扫描与稀有细胞富集平台技术开发服务项目，主要开展循环肿瘤细胞扫描仪（名称以采购人最终确定为准）分类界定（具体产品类别以药品监督管理局分类界定为准）、注册检验全流程技术支撑、全套质量体系搭建、注册申报、生产许可辅导、嵌入式软硬件设计开发合规化、同品种比对、模拟核查、法规培训全周期技术服务。</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1、供应商须具有独立承担民事责任的能力，向采购人提供货物和服务的法人、其他组织或自然人。：供应商是企业（包括合伙企业）的，应提供其在工商部门注册的有效“企业法人营业执照”或“营业执照”；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p>
      <w:pPr>
        <w:pStyle w:val="null5"/>
        <w:jc w:val="left"/>
      </w:pPr>
      <w:r>
        <w:rPr>
          <w:rFonts w:ascii="仿宋_GB2312" w:hAnsi="仿宋_GB2312" w:cs="仿宋_GB2312" w:eastAsia="仿宋_GB2312"/>
        </w:rPr>
        <w:t>3、供应商须具有良好的商业信誉和健全的财务会计制度：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p>
      <w:pPr>
        <w:pStyle w:val="null5"/>
        <w:jc w:val="left"/>
      </w:pPr>
      <w:r>
        <w:rPr>
          <w:rFonts w:ascii="仿宋_GB2312" w:hAnsi="仿宋_GB2312" w:cs="仿宋_GB2312" w:eastAsia="仿宋_GB2312"/>
        </w:rPr>
        <w:t>4、供应商须具有依法缴纳税收和社会保障资金的良好记录：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5、供应商须具有履行合同所必需的设备和专业技术能力：附具备履行合同所必需设备和专业技术能力声明函。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首次响应文件递交截止日前）供应商在经营活动中没有重大违法记录，其中：重大违法记录是指供应商因违法经营受到刑事处罚或者责令停产停业、吊销许可证或者执照、较大数额罚款等行政处罚：供应商须提供参加政府采购活动前 3 年内在经营活动中没有重大违法记录的书面声明。</w:t>
      </w:r>
    </w:p>
    <w:p>
      <w:pPr>
        <w:pStyle w:val="null5"/>
        <w:jc w:val="left"/>
      </w:pPr>
      <w:r>
        <w:rPr>
          <w:rFonts w:ascii="仿宋_GB2312" w:hAnsi="仿宋_GB2312" w:cs="仿宋_GB2312" w:eastAsia="仿宋_GB2312"/>
        </w:rPr>
        <w:t>7、供应商在“信用中国”“中国政府采购网”网站被列入失信被执行人、重大税收违法失信主体名单的、政府采购严重违法失信行为记录名单（处罚期限尚未届满的）的，不得参与本项目的政府采购活动：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p>
      <w:pPr>
        <w:pStyle w:val="null5"/>
        <w:jc w:val="left"/>
      </w:pPr>
      <w:r>
        <w:rPr>
          <w:rFonts w:ascii="仿宋_GB2312" w:hAnsi="仿宋_GB2312" w:cs="仿宋_GB2312" w:eastAsia="仿宋_GB2312"/>
        </w:rPr>
        <w:t>8、单位负责人为同一人或者存在直接控股、管理关系的不同供应商，不得参加同一包的报价或者未划分包的同一项目的报价：供应商须提供书面声明。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采购包1：390,000.00元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3个工作日内乙方向甲方指定账户缴纳合同金额5%的履约保证金（若乙方为中小企业，则该比例为2%）。履约保证金在验收合格后，没有任何质量问题，由乙方向甲方提交申请，甲方根据履约情况无息退还给乙方。2.履约保证金形式：电汇形式、银行汇票（供应商应在响应文件中明确具体递交形式）3.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自报价截止之日起90个日历日。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代理服务费收费标准：成交供应商在领取成交通知书和签订合同前，按计价格【2002】1980号文件收费标准的70%向采购代理机构交纳成交服务费</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无</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服务完成且乙方向采购人发出项目验收建议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竞争性磋商文件技术要求、响应文件响应及承诺内容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竞争性磋商文件商务要求、响应文件响应及承诺内容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验收严格遵循相应标准，即乙方所交付的成果文件应完整、内容应满足相应要求。应符合采购文件及合同要求，响应文件及乙方在评审过程中做出的书面澄清及承诺，冲突之处执行最高标准。</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390,000.00</w:t>
      </w:r>
    </w:p>
    <w:p>
      <w:pPr>
        <w:pStyle w:val="null5"/>
        <w:jc w:val="left"/>
      </w:pPr>
      <w:r>
        <w:rPr>
          <w:rFonts w:ascii="仿宋_GB2312" w:hAnsi="仿宋_GB2312" w:cs="仿宋_GB2312" w:eastAsia="仿宋_GB2312"/>
        </w:rPr>
        <w:t>采购包最高限价（元）: 390,000.00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全自动显微扫描与稀有细胞富集平台技术开发服务</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390,000.00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全自动显微扫描与稀有细胞富集平台技术开发服务</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全自动显微扫描与稀有细胞富集平台技术开发服务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全自动显微扫描与稀有细胞富集平台技术开发服务</w:t>
            </w:r>
          </w:p>
        </w:tc>
        <w:tc>
          <w:tcPr>
            <w:tcW w:type="dxa" w:w="2076"/>
          </w:tcPr>
          <w:p>
            <w:pPr>
              <w:pStyle w:val="null5"/>
              <w:jc w:val="left"/>
            </w:pPr>
            <w:r>
              <w:rPr>
                <w:rFonts w:ascii="仿宋_GB2312" w:hAnsi="仿宋_GB2312" w:cs="仿宋_GB2312" w:eastAsia="仿宋_GB2312"/>
              </w:rPr>
              <w:t>全自动显微扫描与稀有细胞富集平台技术开发服务</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标的名称：全自动显微扫描与稀有细胞富集平台技术开发服务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一、服务需求（一）项目概况</w:t>
            </w:r>
          </w:p>
        </w:tc>
        <w:tc>
          <w:tcPr>
            <w:tcW w:type="dxa" w:w="2076"/>
          </w:tcPr>
          <w:p>
            <w:pPr>
              <w:pStyle w:val="null5"/>
              <w:jc w:val="left"/>
            </w:pPr>
            <w:r>
              <w:rPr>
                <w:rFonts w:ascii="仿宋_GB2312" w:hAnsi="仿宋_GB2312" w:cs="仿宋_GB2312" w:eastAsia="仿宋_GB2312"/>
              </w:rPr>
              <w:t>本项目为山东第一医科大学（山东省医学科学院）全自动显微扫描与稀有细胞富集平台技术开发服务项目，主要开展循环肿瘤细胞扫描仪（名称以采购人最终确定为准）分类界定（具体产品类别以药品监督管理局分类界定为准）、注册检验全流程技术支撑、全套质量体系搭建、注册申报、生产许可辅导、嵌入式软硬件设计开发合规化、同品种比对、模拟核查、法规培训全周期技术服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一、服务需求（二）服务内容1.分类界定</w:t>
            </w:r>
          </w:p>
        </w:tc>
        <w:tc>
          <w:tcPr>
            <w:tcW w:type="dxa" w:w="2076"/>
          </w:tcPr>
          <w:p>
            <w:pPr>
              <w:pStyle w:val="null5"/>
              <w:jc w:val="left"/>
            </w:pPr>
            <w:r>
              <w:rPr>
                <w:rFonts w:ascii="仿宋_GB2312" w:hAnsi="仿宋_GB2312" w:cs="仿宋_GB2312" w:eastAsia="仿宋_GB2312"/>
              </w:rPr>
              <w:t>1. 证据材料编制：（1）完成产品原理、结构、预期用途、临床应用、风险分析、国内外同类产品界定案例全套佐证资料；（2）梳理设备硬件、嵌入式扫描软件、配套耗材边界，区分整机与配套试剂监管属性。</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一、服务需求（二）服务内容1.分类界定</w:t>
            </w:r>
          </w:p>
        </w:tc>
        <w:tc>
          <w:tcPr>
            <w:tcW w:type="dxa" w:w="2076"/>
          </w:tcPr>
          <w:p>
            <w:pPr>
              <w:pStyle w:val="null5"/>
              <w:jc w:val="left"/>
            </w:pPr>
            <w:r>
              <w:rPr>
                <w:rFonts w:ascii="仿宋_GB2312" w:hAnsi="仿宋_GB2312" w:cs="仿宋_GB2312" w:eastAsia="仿宋_GB2312"/>
              </w:rPr>
              <w:t>2. 申报与审评沟通：（1）严格按照《尚未列入〈分类目录〉医疗器械分类界定工作程序》编制全套申报资料；（2）全程对接省药监局医疗器械监管科室，线上线下沟通答疑，直至取得正式分类界定结果文件。</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一、服务需求（二）服务内容2.完成送检工作</w:t>
            </w:r>
          </w:p>
        </w:tc>
        <w:tc>
          <w:tcPr>
            <w:tcW w:type="dxa" w:w="2076"/>
          </w:tcPr>
          <w:p>
            <w:pPr>
              <w:pStyle w:val="null5"/>
              <w:jc w:val="left"/>
            </w:pPr>
            <w:r>
              <w:rPr>
                <w:rFonts w:ascii="仿宋_GB2312" w:hAnsi="仿宋_GB2312" w:cs="仿宋_GB2312" w:eastAsia="仿宋_GB2312"/>
              </w:rPr>
              <w:t>1. 送检资料编制与辅导：检验委托合同、产品技术要求、成品说明书、全套标签样稿、关键元器件清单 + 元器件安全认证证书、EMC 基本情况表、注册自检承诺书、完整风险管理文档、可用性工程文档、软件完整生命周期文档、出厂检验规程、环境试验方案； 2. 资料合规标准：所有文件符合检验机构模板规范，无缺项、逻辑矛盾、标准引用错误，一次性通过检验机构形式受理。</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一、服务需求（二）服务内容2.完成送检工作</w:t>
            </w:r>
          </w:p>
        </w:tc>
        <w:tc>
          <w:tcPr>
            <w:tcW w:type="dxa" w:w="2076"/>
          </w:tcPr>
          <w:p>
            <w:pPr>
              <w:pStyle w:val="null5"/>
              <w:jc w:val="left"/>
            </w:pPr>
            <w:r>
              <w:rPr>
                <w:rFonts w:ascii="仿宋_GB2312" w:hAnsi="仿宋_GB2312" w:cs="仿宋_GB2312" w:eastAsia="仿宋_GB2312"/>
              </w:rPr>
              <w:t>2）送检过程中文件修订及出现问题沟通协调：检测检验过程中如工程师提出疑问，应对相关资料进行修订至获得检验机构认可。EMC检测如遇不合格项，应协助甲方进行整改。协助GB/T 25000.51的检测，审核检测报告。培训YY/T 0664 标准，并针对整个生存周期文档提供范例及文档审核。负责建立配置管理工具（如gitlab）的建设及使用培训。负责上位机漏扫报告的生成。</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一、服务需求（二）服务内容3.协助编制质量管理体系</w:t>
            </w:r>
          </w:p>
        </w:tc>
        <w:tc>
          <w:tcPr>
            <w:tcW w:type="dxa" w:w="2076"/>
          </w:tcPr>
          <w:p>
            <w:pPr>
              <w:pStyle w:val="null5"/>
              <w:jc w:val="left"/>
            </w:pPr>
            <w:r>
              <w:rPr>
                <w:rFonts w:ascii="仿宋_GB2312" w:hAnsi="仿宋_GB2312" w:cs="仿宋_GB2312" w:eastAsia="仿宋_GB2312"/>
              </w:rPr>
              <w:t>1）质量体系文件编制：根据最新版《医疗器械生产质量管理规范》的要求编制质量体系相关文件，搭建符合企业、产品实际情况、可有效运行的质量管理体系。对企业现场进行规划布置，对相关人员进行法规及检测能力培训，确保相关人员能够针对产品进行质量控制检测、可以应对质量体系现场检查。</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一、服务需求（二）服务内容3.协助编制质量管理体系</w:t>
            </w:r>
          </w:p>
        </w:tc>
        <w:tc>
          <w:tcPr>
            <w:tcW w:type="dxa" w:w="2076"/>
          </w:tcPr>
          <w:p>
            <w:pPr>
              <w:pStyle w:val="null5"/>
              <w:jc w:val="left"/>
            </w:pPr>
            <w:r>
              <w:rPr>
                <w:rFonts w:ascii="仿宋_GB2312" w:hAnsi="仿宋_GB2312" w:cs="仿宋_GB2312" w:eastAsia="仿宋_GB2312"/>
              </w:rPr>
              <w:t>2）模拟核查：1. 依据《医疗器械生产质量管理规范现场检查指导原则》《医疗器械注册申报现场核查指南》开展全流程模拟核查，覆盖设计开发文档、采购记录、样机试制、检验记录、软件版本管理、不良事件、变更控制； 2. 模拟核查出具问题清单，区分严重缺陷、一般缺陷、观察项，每条缺陷提供整改措施、完成时限、验证记录模板； 3. 整改闭环：全部缺陷整改完成后二次模拟复核，确保正式注册体系核查顺利通过。</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一、服务需求（二）服务内容4.注册申报</w:t>
            </w:r>
          </w:p>
        </w:tc>
        <w:tc>
          <w:tcPr>
            <w:tcW w:type="dxa" w:w="2076"/>
          </w:tcPr>
          <w:p>
            <w:pPr>
              <w:pStyle w:val="null5"/>
              <w:jc w:val="left"/>
            </w:pPr>
            <w:r>
              <w:rPr>
                <w:rFonts w:ascii="仿宋_GB2312" w:hAnsi="仿宋_GB2312" w:cs="仿宋_GB2312" w:eastAsia="仿宋_GB2312"/>
              </w:rPr>
              <w:t>1）注册申报资料编制：根据《医疗器械注册申报资料要求及说明》编制产品申报资料，申报资料应满足《医疗器械注册申报资料和批准证明文件格式要求》，且应顺利通过药监局审核。申报资料应在注册检验期间编制完成。</w:t>
            </w:r>
            <w:r>
              <w:rPr>
                <w:rFonts w:ascii="仿宋_GB2312" w:hAnsi="仿宋_GB2312" w:cs="仿宋_GB2312" w:eastAsia="仿宋_GB2312"/>
              </w:rPr>
              <w:t>申报资料目录如下：</w:t>
            </w:r>
          </w:p>
          <w:tbl>
            <w:tblPr>
              <w:tblInd w:type="dxa" w:w="120"/>
              <w:tblBorders>
                <w:top w:val="none" w:color="000000" w:sz="4"/>
                <w:left w:val="none" w:color="000000" w:sz="4"/>
                <w:bottom w:val="none" w:color="000000" w:sz="4"/>
                <w:right w:val="none" w:color="000000" w:sz="4"/>
                <w:insideH w:val="none"/>
                <w:insideV w:val="none"/>
              </w:tblBorders>
            </w:tblPr>
            <w:tblGrid>
              <w:gridCol w:w="620"/>
              <w:gridCol w:w="1240"/>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rPr>
                    <w:t>申报资料一级标题</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8"/>
                    </w:rPr>
                    <w:t>申报资料二级标题</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1.监管信息</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1.1章节目录</w:t>
                  </w:r>
                </w:p>
                <w:p>
                  <w:pPr>
                    <w:pStyle w:val="null5"/>
                    <w:jc w:val="both"/>
                  </w:pPr>
                  <w:r>
                    <w:rPr>
                      <w:rFonts w:ascii="仿宋_GB2312" w:hAnsi="仿宋_GB2312" w:cs="仿宋_GB2312" w:eastAsia="仿宋_GB2312"/>
                      <w:sz w:val="18"/>
                    </w:rPr>
                    <w:t>1.2申请表</w:t>
                  </w:r>
                </w:p>
                <w:p>
                  <w:pPr>
                    <w:pStyle w:val="null5"/>
                    <w:jc w:val="both"/>
                  </w:pPr>
                  <w:r>
                    <w:rPr>
                      <w:rFonts w:ascii="仿宋_GB2312" w:hAnsi="仿宋_GB2312" w:cs="仿宋_GB2312" w:eastAsia="仿宋_GB2312"/>
                      <w:sz w:val="18"/>
                    </w:rPr>
                    <w:t>1.3术语、缩写词列表</w:t>
                  </w:r>
                </w:p>
                <w:p>
                  <w:pPr>
                    <w:pStyle w:val="null5"/>
                    <w:jc w:val="both"/>
                  </w:pPr>
                  <w:r>
                    <w:rPr>
                      <w:rFonts w:ascii="仿宋_GB2312" w:hAnsi="仿宋_GB2312" w:cs="仿宋_GB2312" w:eastAsia="仿宋_GB2312"/>
                      <w:sz w:val="18"/>
                    </w:rPr>
                    <w:t>1.4产品列表</w:t>
                  </w:r>
                </w:p>
                <w:p>
                  <w:pPr>
                    <w:pStyle w:val="null5"/>
                    <w:jc w:val="both"/>
                  </w:pPr>
                  <w:r>
                    <w:rPr>
                      <w:rFonts w:ascii="仿宋_GB2312" w:hAnsi="仿宋_GB2312" w:cs="仿宋_GB2312" w:eastAsia="仿宋_GB2312"/>
                      <w:sz w:val="18"/>
                    </w:rPr>
                    <w:t>1.5关联文件</w:t>
                  </w:r>
                </w:p>
                <w:p>
                  <w:pPr>
                    <w:pStyle w:val="null5"/>
                    <w:jc w:val="both"/>
                  </w:pPr>
                  <w:r>
                    <w:rPr>
                      <w:rFonts w:ascii="仿宋_GB2312" w:hAnsi="仿宋_GB2312" w:cs="仿宋_GB2312" w:eastAsia="仿宋_GB2312"/>
                      <w:sz w:val="18"/>
                    </w:rPr>
                    <w:t>1.6申报前与监管机构的联系情况和沟通记录</w:t>
                  </w:r>
                </w:p>
                <w:p>
                  <w:pPr>
                    <w:pStyle w:val="null5"/>
                    <w:jc w:val="both"/>
                  </w:pPr>
                  <w:r>
                    <w:rPr>
                      <w:rFonts w:ascii="仿宋_GB2312" w:hAnsi="仿宋_GB2312" w:cs="仿宋_GB2312" w:eastAsia="仿宋_GB2312"/>
                      <w:sz w:val="18"/>
                    </w:rPr>
                    <w:t>1.7符合性声明</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2.综述资料</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2.1章节目录</w:t>
                  </w:r>
                </w:p>
                <w:p>
                  <w:pPr>
                    <w:pStyle w:val="null5"/>
                    <w:jc w:val="both"/>
                  </w:pPr>
                  <w:r>
                    <w:rPr>
                      <w:rFonts w:ascii="仿宋_GB2312" w:hAnsi="仿宋_GB2312" w:cs="仿宋_GB2312" w:eastAsia="仿宋_GB2312"/>
                      <w:sz w:val="18"/>
                    </w:rPr>
                    <w:t>2.2概述</w:t>
                  </w:r>
                </w:p>
                <w:p>
                  <w:pPr>
                    <w:pStyle w:val="null5"/>
                    <w:jc w:val="both"/>
                  </w:pPr>
                  <w:r>
                    <w:rPr>
                      <w:rFonts w:ascii="仿宋_GB2312" w:hAnsi="仿宋_GB2312" w:cs="仿宋_GB2312" w:eastAsia="仿宋_GB2312"/>
                      <w:sz w:val="18"/>
                    </w:rPr>
                    <w:t>2.3产品描述</w:t>
                  </w:r>
                </w:p>
                <w:p>
                  <w:pPr>
                    <w:pStyle w:val="null5"/>
                    <w:jc w:val="both"/>
                  </w:pPr>
                  <w:r>
                    <w:rPr>
                      <w:rFonts w:ascii="仿宋_GB2312" w:hAnsi="仿宋_GB2312" w:cs="仿宋_GB2312" w:eastAsia="仿宋_GB2312"/>
                      <w:sz w:val="18"/>
                    </w:rPr>
                    <w:t>2.4适用范围和禁忌证</w:t>
                  </w:r>
                </w:p>
                <w:p>
                  <w:pPr>
                    <w:pStyle w:val="null5"/>
                    <w:jc w:val="both"/>
                  </w:pPr>
                  <w:r>
                    <w:rPr>
                      <w:rFonts w:ascii="仿宋_GB2312" w:hAnsi="仿宋_GB2312" w:cs="仿宋_GB2312" w:eastAsia="仿宋_GB2312"/>
                      <w:sz w:val="18"/>
                    </w:rPr>
                    <w:t>2.5申报产品上市历史</w:t>
                  </w:r>
                </w:p>
                <w:p>
                  <w:pPr>
                    <w:pStyle w:val="null5"/>
                    <w:jc w:val="both"/>
                  </w:pPr>
                  <w:r>
                    <w:rPr>
                      <w:rFonts w:ascii="仿宋_GB2312" w:hAnsi="仿宋_GB2312" w:cs="仿宋_GB2312" w:eastAsia="仿宋_GB2312"/>
                      <w:sz w:val="18"/>
                    </w:rPr>
                    <w:t>2.6其他需说明的内容</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3.非临床资料</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3.1章节目录</w:t>
                  </w:r>
                </w:p>
                <w:p>
                  <w:pPr>
                    <w:pStyle w:val="null5"/>
                    <w:jc w:val="both"/>
                  </w:pPr>
                  <w:r>
                    <w:rPr>
                      <w:rFonts w:ascii="仿宋_GB2312" w:hAnsi="仿宋_GB2312" w:cs="仿宋_GB2312" w:eastAsia="仿宋_GB2312"/>
                      <w:sz w:val="18"/>
                    </w:rPr>
                    <w:t>3.2产品风险管理资料</w:t>
                  </w:r>
                </w:p>
                <w:p>
                  <w:pPr>
                    <w:pStyle w:val="null5"/>
                    <w:jc w:val="both"/>
                  </w:pPr>
                  <w:r>
                    <w:rPr>
                      <w:rFonts w:ascii="仿宋_GB2312" w:hAnsi="仿宋_GB2312" w:cs="仿宋_GB2312" w:eastAsia="仿宋_GB2312"/>
                      <w:sz w:val="18"/>
                    </w:rPr>
                    <w:t>3.3医疗器械安全和性能基本原则清单</w:t>
                  </w:r>
                </w:p>
                <w:p>
                  <w:pPr>
                    <w:pStyle w:val="null5"/>
                    <w:jc w:val="both"/>
                  </w:pPr>
                  <w:r>
                    <w:rPr>
                      <w:rFonts w:ascii="仿宋_GB2312" w:hAnsi="仿宋_GB2312" w:cs="仿宋_GB2312" w:eastAsia="仿宋_GB2312"/>
                      <w:sz w:val="18"/>
                    </w:rPr>
                    <w:t>3.4产品技术要求及检验报告</w:t>
                  </w:r>
                </w:p>
                <w:p>
                  <w:pPr>
                    <w:pStyle w:val="null5"/>
                    <w:jc w:val="both"/>
                  </w:pPr>
                  <w:r>
                    <w:rPr>
                      <w:rFonts w:ascii="仿宋_GB2312" w:hAnsi="仿宋_GB2312" w:cs="仿宋_GB2312" w:eastAsia="仿宋_GB2312"/>
                      <w:sz w:val="18"/>
                    </w:rPr>
                    <w:t>3.5研究资料</w:t>
                  </w:r>
                </w:p>
                <w:p>
                  <w:pPr>
                    <w:pStyle w:val="null5"/>
                    <w:jc w:val="both"/>
                  </w:pPr>
                  <w:r>
                    <w:rPr>
                      <w:rFonts w:ascii="仿宋_GB2312" w:hAnsi="仿宋_GB2312" w:cs="仿宋_GB2312" w:eastAsia="仿宋_GB2312"/>
                      <w:sz w:val="18"/>
                    </w:rPr>
                    <w:t>3.6非临床文献</w:t>
                  </w:r>
                </w:p>
                <w:p>
                  <w:pPr>
                    <w:pStyle w:val="null5"/>
                    <w:jc w:val="both"/>
                  </w:pPr>
                  <w:r>
                    <w:rPr>
                      <w:rFonts w:ascii="仿宋_GB2312" w:hAnsi="仿宋_GB2312" w:cs="仿宋_GB2312" w:eastAsia="仿宋_GB2312"/>
                      <w:sz w:val="18"/>
                    </w:rPr>
                    <w:t>3.7稳定性研究</w:t>
                  </w:r>
                </w:p>
                <w:p>
                  <w:pPr>
                    <w:pStyle w:val="null5"/>
                    <w:jc w:val="both"/>
                  </w:pPr>
                  <w:r>
                    <w:rPr>
                      <w:rFonts w:ascii="仿宋_GB2312" w:hAnsi="仿宋_GB2312" w:cs="仿宋_GB2312" w:eastAsia="仿宋_GB2312"/>
                      <w:sz w:val="18"/>
                    </w:rPr>
                    <w:t>3.8其他资料</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4.临床评价资料</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4.1章节目录</w:t>
                  </w:r>
                </w:p>
                <w:p>
                  <w:pPr>
                    <w:pStyle w:val="null5"/>
                    <w:jc w:val="both"/>
                  </w:pPr>
                  <w:r>
                    <w:rPr>
                      <w:rFonts w:ascii="仿宋_GB2312" w:hAnsi="仿宋_GB2312" w:cs="仿宋_GB2312" w:eastAsia="仿宋_GB2312"/>
                      <w:sz w:val="18"/>
                    </w:rPr>
                    <w:t>4.2临床评价资料</w:t>
                  </w:r>
                </w:p>
                <w:p>
                  <w:pPr>
                    <w:pStyle w:val="null5"/>
                    <w:jc w:val="both"/>
                  </w:pPr>
                  <w:r>
                    <w:rPr>
                      <w:rFonts w:ascii="仿宋_GB2312" w:hAnsi="仿宋_GB2312" w:cs="仿宋_GB2312" w:eastAsia="仿宋_GB2312"/>
                      <w:sz w:val="18"/>
                    </w:rPr>
                    <w:t>4.3其他资料</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5.产品说明书和标签样稿</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5.1章节目录</w:t>
                  </w:r>
                </w:p>
                <w:p>
                  <w:pPr>
                    <w:pStyle w:val="null5"/>
                    <w:jc w:val="both"/>
                  </w:pPr>
                  <w:r>
                    <w:rPr>
                      <w:rFonts w:ascii="仿宋_GB2312" w:hAnsi="仿宋_GB2312" w:cs="仿宋_GB2312" w:eastAsia="仿宋_GB2312"/>
                      <w:sz w:val="18"/>
                    </w:rPr>
                    <w:t>5.2产品说明书</w:t>
                  </w:r>
                </w:p>
                <w:p>
                  <w:pPr>
                    <w:pStyle w:val="null5"/>
                    <w:jc w:val="both"/>
                  </w:pPr>
                  <w:r>
                    <w:rPr>
                      <w:rFonts w:ascii="仿宋_GB2312" w:hAnsi="仿宋_GB2312" w:cs="仿宋_GB2312" w:eastAsia="仿宋_GB2312"/>
                      <w:sz w:val="18"/>
                    </w:rPr>
                    <w:t>5.3标签样稿</w:t>
                  </w:r>
                </w:p>
                <w:p>
                  <w:pPr>
                    <w:pStyle w:val="null5"/>
                    <w:jc w:val="both"/>
                  </w:pPr>
                  <w:r>
                    <w:rPr>
                      <w:rFonts w:ascii="仿宋_GB2312" w:hAnsi="仿宋_GB2312" w:cs="仿宋_GB2312" w:eastAsia="仿宋_GB2312"/>
                      <w:sz w:val="18"/>
                    </w:rPr>
                    <w:t>5.4其他资料</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6.质量管理体系文件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18"/>
                    </w:rPr>
                    <w:t>6.1综述</w:t>
                  </w:r>
                </w:p>
                <w:p>
                  <w:pPr>
                    <w:pStyle w:val="null5"/>
                    <w:jc w:val="both"/>
                  </w:pPr>
                  <w:r>
                    <w:rPr>
                      <w:rFonts w:ascii="仿宋_GB2312" w:hAnsi="仿宋_GB2312" w:cs="仿宋_GB2312" w:eastAsia="仿宋_GB2312"/>
                      <w:sz w:val="18"/>
                    </w:rPr>
                    <w:t>6.2章节目录</w:t>
                  </w:r>
                </w:p>
                <w:p>
                  <w:pPr>
                    <w:pStyle w:val="null5"/>
                    <w:jc w:val="both"/>
                  </w:pPr>
                  <w:r>
                    <w:rPr>
                      <w:rFonts w:ascii="仿宋_GB2312" w:hAnsi="仿宋_GB2312" w:cs="仿宋_GB2312" w:eastAsia="仿宋_GB2312"/>
                      <w:sz w:val="18"/>
                    </w:rPr>
                    <w:t>6.3生产制造信息</w:t>
                  </w:r>
                </w:p>
                <w:p>
                  <w:pPr>
                    <w:pStyle w:val="null5"/>
                    <w:jc w:val="both"/>
                  </w:pPr>
                  <w:r>
                    <w:rPr>
                      <w:rFonts w:ascii="仿宋_GB2312" w:hAnsi="仿宋_GB2312" w:cs="仿宋_GB2312" w:eastAsia="仿宋_GB2312"/>
                      <w:sz w:val="18"/>
                    </w:rPr>
                    <w:t>6.4质量管理体系程序</w:t>
                  </w:r>
                </w:p>
                <w:p>
                  <w:pPr>
                    <w:pStyle w:val="null5"/>
                    <w:jc w:val="both"/>
                  </w:pPr>
                  <w:r>
                    <w:rPr>
                      <w:rFonts w:ascii="仿宋_GB2312" w:hAnsi="仿宋_GB2312" w:cs="仿宋_GB2312" w:eastAsia="仿宋_GB2312"/>
                      <w:sz w:val="18"/>
                    </w:rPr>
                    <w:t>6.5管理职责程序</w:t>
                  </w:r>
                </w:p>
                <w:p>
                  <w:pPr>
                    <w:pStyle w:val="null5"/>
                    <w:jc w:val="both"/>
                  </w:pPr>
                  <w:r>
                    <w:rPr>
                      <w:rFonts w:ascii="仿宋_GB2312" w:hAnsi="仿宋_GB2312" w:cs="仿宋_GB2312" w:eastAsia="仿宋_GB2312"/>
                      <w:sz w:val="18"/>
                    </w:rPr>
                    <w:t>6.6资源管理程序</w:t>
                  </w:r>
                </w:p>
                <w:p>
                  <w:pPr>
                    <w:pStyle w:val="null5"/>
                    <w:jc w:val="both"/>
                  </w:pPr>
                  <w:r>
                    <w:rPr>
                      <w:rFonts w:ascii="仿宋_GB2312" w:hAnsi="仿宋_GB2312" w:cs="仿宋_GB2312" w:eastAsia="仿宋_GB2312"/>
                      <w:sz w:val="18"/>
                    </w:rPr>
                    <w:t>6.7产品实现程序</w:t>
                  </w:r>
                </w:p>
                <w:p>
                  <w:pPr>
                    <w:pStyle w:val="null5"/>
                    <w:jc w:val="both"/>
                  </w:pPr>
                  <w:r>
                    <w:rPr>
                      <w:rFonts w:ascii="仿宋_GB2312" w:hAnsi="仿宋_GB2312" w:cs="仿宋_GB2312" w:eastAsia="仿宋_GB2312"/>
                      <w:sz w:val="18"/>
                    </w:rPr>
                    <w:t>6.8质量管理体系的测量、分析和改进程序</w:t>
                  </w:r>
                </w:p>
                <w:p>
                  <w:pPr>
                    <w:pStyle w:val="null5"/>
                    <w:jc w:val="both"/>
                  </w:pPr>
                  <w:r>
                    <w:rPr>
                      <w:rFonts w:ascii="仿宋_GB2312" w:hAnsi="仿宋_GB2312" w:cs="仿宋_GB2312" w:eastAsia="仿宋_GB2312"/>
                      <w:sz w:val="18"/>
                    </w:rPr>
                    <w:t>6.9其他质量体系程序信息</w:t>
                  </w:r>
                </w:p>
                <w:p>
                  <w:pPr>
                    <w:pStyle w:val="null5"/>
                    <w:jc w:val="both"/>
                  </w:pPr>
                  <w:r>
                    <w:rPr>
                      <w:rFonts w:ascii="仿宋_GB2312" w:hAnsi="仿宋_GB2312" w:cs="仿宋_GB2312" w:eastAsia="仿宋_GB2312"/>
                      <w:sz w:val="18"/>
                    </w:rPr>
                    <w:t>6.10质量管理体系核查文件</w:t>
                  </w:r>
                </w:p>
              </w:tc>
            </w:tr>
          </w:tbl>
          <w:p>
            <w:pPr>
              <w:pStyle w:val="null5"/>
              <w:jc w:val="left"/>
            </w:pPr>
            <w:r>
              <w:rPr>
                <w:rFonts w:ascii="仿宋_GB2312" w:hAnsi="仿宋_GB2312" w:cs="仿宋_GB2312" w:eastAsia="仿宋_GB2312"/>
              </w:rPr>
              <w:t xml:space="preserve"> </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一、服务需求（二）服务内容4.注册申报</w:t>
            </w:r>
          </w:p>
        </w:tc>
        <w:tc>
          <w:tcPr>
            <w:tcW w:type="dxa" w:w="2076"/>
          </w:tcPr>
          <w:p>
            <w:pPr>
              <w:pStyle w:val="null5"/>
              <w:jc w:val="left"/>
            </w:pPr>
            <w:r>
              <w:rPr>
                <w:rFonts w:ascii="仿宋_GB2312" w:hAnsi="仿宋_GB2312" w:cs="仿宋_GB2312" w:eastAsia="仿宋_GB2312"/>
              </w:rPr>
              <w:t>2）注册审评沟通、审评发补整改：收到药监局整改意见后，及时进行沟通交流，准确把握意见的具体内容，协助甲方及时制定整改方案，整改方案获得主审认可后，及时完成整改。</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一、服务需求（二）服务内容5.同品种比对报告撰写</w:t>
            </w:r>
          </w:p>
        </w:tc>
        <w:tc>
          <w:tcPr>
            <w:tcW w:type="dxa" w:w="2076"/>
          </w:tcPr>
          <w:p>
            <w:pPr>
              <w:pStyle w:val="null5"/>
              <w:jc w:val="left"/>
            </w:pPr>
            <w:r>
              <w:rPr>
                <w:rFonts w:ascii="仿宋_GB2312" w:hAnsi="仿宋_GB2312" w:cs="仿宋_GB2312" w:eastAsia="仿宋_GB2312"/>
              </w:rPr>
              <w:t>根据《医疗器械临床评价等同性论证技术指导原则》编制同品种比对报告，比对项目涵盖适用范围、工作原理、关键性能、软件算法、风险控制、标准符合性、差异论证等。</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一、服务需求（二）服务内容6.生产许可申报</w:t>
            </w:r>
          </w:p>
        </w:tc>
        <w:tc>
          <w:tcPr>
            <w:tcW w:type="dxa" w:w="2076"/>
          </w:tcPr>
          <w:p>
            <w:pPr>
              <w:pStyle w:val="null5"/>
              <w:jc w:val="left"/>
            </w:pPr>
            <w:r>
              <w:rPr>
                <w:rFonts w:ascii="仿宋_GB2312" w:hAnsi="仿宋_GB2312" w:cs="仿宋_GB2312" w:eastAsia="仿宋_GB2312"/>
              </w:rPr>
              <w:t>1）申报资料编制：根据《医疗器械生产监督管理办法》开展生产许可申报工作，编制医疗器械生产许可申报资料，且应在取得注册证后完成生产许可资料的提交受理事宜。医疗器械生产许可资料包含但不限于以下资料： （一）营业执照复印件； （二）申请企业持有的所生产医疗器械的注册证及产品技术要求复印件； （三）法定代表人、企业负责人身份证明复印件； （四）生产、质量和技术负责人的身份、学历、职称证明复印件； （五）生产管理、质量检验岗位从业人员学历、职称一览表； （六）生产场地的证明文件，有特殊生产环境要求的还应当提交设施、环境的证明文件复印件； （七）主要生产设备和检验设备目录； （八）质量手册和程序文件； （九）工艺流程图； （十）经办人授权证明； （十一）其他证明资料。</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一、服务需求（二）服务内容6.生产许可申报</w:t>
            </w:r>
          </w:p>
        </w:tc>
        <w:tc>
          <w:tcPr>
            <w:tcW w:type="dxa" w:w="2076"/>
          </w:tcPr>
          <w:p>
            <w:pPr>
              <w:pStyle w:val="null5"/>
              <w:jc w:val="left"/>
            </w:pPr>
            <w:r>
              <w:rPr>
                <w:rFonts w:ascii="仿宋_GB2312" w:hAnsi="仿宋_GB2312" w:cs="仿宋_GB2312" w:eastAsia="仿宋_GB2312"/>
              </w:rPr>
              <w:t>2）审评沟通、审评发补整改：收到药监局整改意见后，及时与审核老师进行沟通交流，完成整改工作并及时提交补正资料。</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1）资料（硬件+软件）模板提供及编制辅导：编制符合《医疗器械生产质量管理规范》的主机（硬件）、软件（嵌入式软件、扫描软件等）相关设计开发资料模板（如：设计开发策划、输入、输出、软件可追溯性分析、系统测试、用户测试等），指导设计开发人员完成设计开发相关资料的填写。相关内容应得到药监局老师的认可。指导产品设计开发环节并对产品涉及的强制性国标、行标进行摸底测试，EMC常见不合格项目预防性设计培训。</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2）生产现场布置指导：根据产品生产工艺流程等情况合理规划生产现场、仓库、实验室等场所，使之满足《医疗器械生产质量管理规范》现场检查的要求，并得到药监局老师的认可。</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3）相关人员培训：对全体员工进行医疗器械相关法规的培训，使之了解相关要求，可以应对现场检查。对检验人员进行质量控制相关培训，使之可以完成相关工作。</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4）产品出厂检验项目辅导、安规检验设备使用辅导，辅助质量体系记录类文件填写。根据产品实际情况编制《成品出厂检验规程》。对相关人员进行成品出厂检验培训，使之熟练掌握相关检验仪器的使用及根据检验方法完成检验。辅助相关人员对质量体系全流程相关记录（如：人员架构、文件管理、设计开发、采购、生产、质量管理、销售和售后服务等）的填写，避免出现逻辑性矛盾，且顺利通过药监局验收。</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一、服务需求（三）服务要求</w:t>
            </w:r>
          </w:p>
        </w:tc>
        <w:tc>
          <w:tcPr>
            <w:tcW w:type="dxa" w:w="2076"/>
          </w:tcPr>
          <w:p>
            <w:pPr>
              <w:pStyle w:val="null5"/>
              <w:jc w:val="left"/>
            </w:pPr>
            <w:r>
              <w:rPr>
                <w:rFonts w:ascii="仿宋_GB2312" w:hAnsi="仿宋_GB2312" w:cs="仿宋_GB2312" w:eastAsia="仿宋_GB2312"/>
              </w:rPr>
              <w:t>1.供应商应有相关产品注册申报成功经验。</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一、服务需求（三）服务要求</w:t>
            </w:r>
          </w:p>
        </w:tc>
        <w:tc>
          <w:tcPr>
            <w:tcW w:type="dxa" w:w="2076"/>
          </w:tcPr>
          <w:p>
            <w:pPr>
              <w:pStyle w:val="null5"/>
              <w:jc w:val="left"/>
            </w:pPr>
            <w:r>
              <w:rPr>
                <w:rFonts w:ascii="仿宋_GB2312" w:hAnsi="仿宋_GB2312" w:cs="仿宋_GB2312" w:eastAsia="仿宋_GB2312"/>
              </w:rPr>
              <w:t>2.服务团队要求 1）团队人员有生物医学工程、机械、统计分析等本科及以上学历背景，并提供项目负责人开标时间前近半年任意一个月在本单位社保缴纳证明。 2）团队有医疗器械设计开发经验，能合理把控设计开发问题。 3）拟投入人员不少于5人。</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服务期:自合同签订之日起一年内完成所有服务内容。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预付款，在合同签订生效且具备实施条件后，乙方向甲方项目负责人或指定人申请，达到付款条件起7个工作日内，支付合同总金额的40.0%；进度款，验收合格后，达到付款条件起7个工作日内，支付合同总金额的60.0%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验收：1、本项目采购合同为甲方进行履约验收的主要依据。服务完成且合同履行达到验收条件时,乙方向采购人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br/>
              <w:t>2、验收方案依据项目验收清单和标准、采购文件中对项目的技术和商务规定要求、乙方响应承诺情况、合同明确约定的要求等制定。</w:t>
              <w:br/>
              <w:t>3、验收严格遵循相应标准，即乙方所交付的成果文件应完整、内容应满足相应要求。应符合采购文件及合同要求，响应文件及乙方在评审过程中做出的书面澄清及承诺，冲突之处执行最高标准。</w:t>
              <w:b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24"/>
          <w:color w:val="000000"/>
          <w:shd w:fill="FFFFFF" w:val="clear"/>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供应商须具有独立承担民事责任的能力，向采购人提供货物和服务的法人、其他组织或自然人。</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供应商须具有良好的商业信誉和健全的财务会计制度</w:t>
            </w:r>
          </w:p>
        </w:tc>
        <w:tc>
          <w:tcPr>
            <w:tcW w:type="dxa" w:w="3322"/>
          </w:tcPr>
          <w:p>
            <w:pPr>
              <w:pStyle w:val="null5"/>
              <w:jc w:val="left"/>
            </w:pPr>
            <w:r>
              <w:rPr>
                <w:rFonts w:ascii="仿宋_GB2312" w:hAnsi="仿宋_GB2312" w:cs="仿宋_GB2312" w:eastAsia="仿宋_GB2312"/>
              </w:rPr>
              <w:t>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首次响应文件递交截止日前）供应商在经营活动中没有重大违法记录，其中：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 3 年内在经营活动中没有重大违法记录的书面声明。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3322"/>
          </w:tcPr>
          <w:p>
            <w:pPr>
              <w:pStyle w:val="null5"/>
              <w:jc w:val="left"/>
            </w:pPr>
            <w:r>
              <w:rPr>
                <w:rFonts w:ascii="仿宋_GB2312" w:hAnsi="仿宋_GB2312" w:cs="仿宋_GB2312" w:eastAsia="仿宋_GB2312"/>
              </w:rPr>
              <w:t>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w:t>
            </w:r>
          </w:p>
        </w:tc>
        <w:tc>
          <w:tcPr>
            <w:tcW w:type="dxa" w:w="3322"/>
          </w:tcPr>
          <w:p>
            <w:pPr>
              <w:pStyle w:val="null5"/>
              <w:jc w:val="left"/>
            </w:pPr>
            <w:r>
              <w:rPr>
                <w:rFonts w:ascii="仿宋_GB2312" w:hAnsi="仿宋_GB2312" w:cs="仿宋_GB2312" w:eastAsia="仿宋_GB2312"/>
              </w:rPr>
              <w:t>供应商须提供书面声明。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项目负责人简历表、自觉抵制政府采购领域商业贿赂行为承诺书、封面、拟投入项目人员一览表、业绩一览表、响应书、商务偏离表、其他材料、具有良好的商业信誉和健全的财务会计制度证明材料、供应商应提交的相关证明材料、法定代表人资格证明书或法定代表人授权委托书、监狱企业的证明文件、具备履行合同所必需设备和专业技术能力的声明函、中小企业声明函（服务）、技术偏离表、关于本国产品成本占比的承诺函（若有）、开标（报价）一览表、具有独立承担民事责任的能力证明文件、投标（响应）报价明细表、技术评审方案内容、残疾人福利性单位声明函、单位负责人不为同一人或者不存在直接控股、管理关系的书面声明、关于符合本国产品标准的声明函（若有）、无重大违法记录声明函、依法缴纳税收和社会保障资金的相关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报价须是唯一的（磋商文件另有规定的除外），不得超出采购预算或最高限价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按要求提供响应书、供应商自觉抵制政府采购领域商业贿赂行为承诺书。</w:t>
            </w:r>
          </w:p>
        </w:tc>
        <w:tc>
          <w:tcPr>
            <w:tcW w:type="dxa" w:w="1661"/>
          </w:tcPr>
          <w:p>
            <w:pPr>
              <w:pStyle w:val="null5"/>
              <w:jc w:val="left"/>
            </w:pPr>
            <w:r>
              <w:rPr>
                <w:rFonts w:ascii="仿宋_GB2312" w:hAnsi="仿宋_GB2312" w:cs="仿宋_GB2312" w:eastAsia="仿宋_GB2312"/>
              </w:rPr>
              <w:t>响应书、自觉抵制政府采购领域商业贿赂行为承诺书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w:t>
            </w:r>
          </w:p>
        </w:tc>
        <w:tc>
          <w:tcPr>
            <w:tcW w:type="dxa" w:w="3322"/>
          </w:tcPr>
          <w:p>
            <w:pPr>
              <w:pStyle w:val="null5"/>
              <w:jc w:val="left"/>
            </w:pPr>
            <w:r>
              <w:rPr>
                <w:rFonts w:ascii="仿宋_GB2312" w:hAnsi="仿宋_GB2312" w:cs="仿宋_GB2312" w:eastAsia="仿宋_GB2312"/>
              </w:rPr>
              <w:t>响应有效期须满足供应商须知附表相应要求。</w:t>
            </w:r>
          </w:p>
        </w:tc>
        <w:tc>
          <w:tcPr>
            <w:tcW w:type="dxa" w:w="1661"/>
          </w:tcPr>
          <w:p>
            <w:pPr>
              <w:pStyle w:val="null5"/>
              <w:jc w:val="left"/>
            </w:pPr>
            <w:r>
              <w:rPr>
                <w:rFonts w:ascii="仿宋_GB2312" w:hAnsi="仿宋_GB2312" w:cs="仿宋_GB2312" w:eastAsia="仿宋_GB2312"/>
              </w:rPr>
              <w:t>响应书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满足磋商文件中带“★”号的实质性条款要求，满足磋商文件中规定的其他实质性要求。</w:t>
            </w:r>
          </w:p>
        </w:tc>
        <w:tc>
          <w:tcPr>
            <w:tcW w:type="dxa" w:w="1661"/>
          </w:tcPr>
          <w:p>
            <w:pPr>
              <w:pStyle w:val="null5"/>
              <w:jc w:val="left"/>
            </w:pPr>
            <w:r>
              <w:rPr>
                <w:rFonts w:ascii="仿宋_GB2312" w:hAnsi="仿宋_GB2312" w:cs="仿宋_GB2312" w:eastAsia="仿宋_GB2312"/>
              </w:rPr>
              <w:t>技术偏离表、响应书、商务偏离表、其他材料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响应文件未含有采购人不能接受的附加条件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评审现场未发现供应商涉嫌串标围标的情形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存在法律、法规和竞争性磋商文件规定的其他无效情形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针对本项目提供的服务方案从（1）分类界定、（2）送检工作、（3）协助编制质量管理体系、（4）注册申报、（5）同品种比对报告撰写、（6）生产许可申报、（7）设计开发，七个方面进行综合评审，每方面最高得6分，本项满分42分。各方面内容详实完善、可行性高、针对性强、贴合并满足项目需要的得满分6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42.0000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进度计划及保障措施</w:t>
            </w:r>
          </w:p>
        </w:tc>
        <w:tc>
          <w:tcPr>
            <w:tcW w:type="dxa" w:w="2575"/>
          </w:tcPr>
          <w:p>
            <w:pPr>
              <w:pStyle w:val="null5"/>
            </w:pPr>
            <w:r>
              <w:rPr>
                <w:rFonts w:ascii="仿宋_GB2312" w:hAnsi="仿宋_GB2312" w:cs="仿宋_GB2312" w:eastAsia="仿宋_GB2312"/>
              </w:rPr>
              <w:t>根据供应商针对本项目提供的进度计划及保障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技术评审方案内容</w:t>
            </w:r>
          </w:p>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质量保障措施</w:t>
            </w:r>
          </w:p>
        </w:tc>
        <w:tc>
          <w:tcPr>
            <w:tcW w:type="dxa" w:w="2575"/>
          </w:tcPr>
          <w:p>
            <w:pPr>
              <w:pStyle w:val="null5"/>
            </w:pPr>
            <w:r>
              <w:rPr>
                <w:rFonts w:ascii="仿宋_GB2312" w:hAnsi="仿宋_GB2312" w:cs="仿宋_GB2312" w:eastAsia="仿宋_GB2312"/>
              </w:rPr>
              <w:t>根据供应商针对本项目提供的质量保障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应急管理措施</w:t>
            </w:r>
          </w:p>
        </w:tc>
        <w:tc>
          <w:tcPr>
            <w:tcW w:type="dxa" w:w="2575"/>
          </w:tcPr>
          <w:p>
            <w:pPr>
              <w:pStyle w:val="null5"/>
            </w:pPr>
            <w:r>
              <w:rPr>
                <w:rFonts w:ascii="仿宋_GB2312" w:hAnsi="仿宋_GB2312" w:cs="仿宋_GB2312" w:eastAsia="仿宋_GB2312"/>
              </w:rPr>
              <w:t>根据供应商针对本项目提供的应急管理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技术评审方案内容</w:t>
            </w:r>
          </w:p>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拟投入的服务团队具体情况</w:t>
            </w:r>
          </w:p>
        </w:tc>
        <w:tc>
          <w:tcPr>
            <w:tcW w:type="dxa" w:w="2575"/>
          </w:tcPr>
          <w:p>
            <w:pPr>
              <w:pStyle w:val="null5"/>
            </w:pPr>
            <w:r>
              <w:rPr>
                <w:rFonts w:ascii="仿宋_GB2312" w:hAnsi="仿宋_GB2312" w:cs="仿宋_GB2312" w:eastAsia="仿宋_GB2312"/>
              </w:rPr>
              <w:t>根据供应商拟投入的服务人员具体情况从（1）团队整体组织架构、（2）拟投入人员的专业及技术服务能力、（3）人员项目经验三个方面进行综合评审，每方面最高得6分，本项满分18分。团队整体组织架构科学完善、拟投入人员的技术及服务能力优异、人员项目经验丰富的得满分6分，每有一处不合理、不完善的瑕疵纰漏之处的扣1分，扣完为止。须提供人员名单、社保材料、相关学历证书、资质证书等证明材料，未按要求提供的不得分。</w:t>
            </w:r>
          </w:p>
        </w:tc>
        <w:tc>
          <w:tcPr>
            <w:tcW w:type="dxa" w:w="831"/>
          </w:tcPr>
          <w:p>
            <w:pPr>
              <w:pStyle w:val="null5"/>
              <w:jc w:val="center"/>
            </w:pPr>
            <w:r>
              <w:rPr>
                <w:rFonts w:ascii="仿宋_GB2312" w:hAnsi="仿宋_GB2312" w:cs="仿宋_GB2312" w:eastAsia="仿宋_GB2312"/>
              </w:rPr>
              <w:t>18.0000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项目负责人简历表</w:t>
            </w:r>
          </w:p>
          <w:p>
            <w:pPr>
              <w:pStyle w:val="null5"/>
            </w:pPr>
            <w:r>
              <w:rPr>
                <w:rFonts w:ascii="仿宋_GB2312" w:hAnsi="仿宋_GB2312" w:cs="仿宋_GB2312" w:eastAsia="仿宋_GB2312"/>
              </w:rPr>
              <w:t>拟投入项目人员一览表</w:t>
            </w:r>
          </w:p>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根据供应商自2021年1月1日以来完成的类似项目合同或合作协议，每提供一份得1分，最高得3分（以签订时间为准，响应文件中应附合同或合作协议扫描件，未按要求提供不得分。）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w:t>
            </w:r>
          </w:p>
          <w:p>
            <w:pPr>
              <w:pStyle w:val="null5"/>
            </w:pPr>
            <w:r>
              <w:rPr>
                <w:rFonts w:ascii="仿宋_GB2312" w:hAnsi="仿宋_GB2312" w:cs="仿宋_GB2312" w:eastAsia="仿宋_GB2312"/>
              </w:rPr>
              <w:t>其他材料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全自动显微扫描与稀有细胞富集平台技术开发服务响应报价低于全部通过符合性审查供应商响应报价平均值50%的，即全自动显微扫描与稀有细胞富集平台技术开发服务响应报价&lt;全部通过符合性审查供应商响应报价平均值×50%。 （2）全自动显微扫描与稀有细胞富集平台技术开发服务响应报价低于通过符合性审查且报价次低供应商响应报价50%的，即全自动显微扫描与稀有细胞富集平台技术开发服务响应报价&lt;通过符合性审查且报价次低供应商响应报价×50%。 （3）全自动显微扫描与稀有细胞富集平台技术开发服务响应报价低于最高限价45%的，即全自动显微扫描与稀有细胞富集平台技术开发服务响应报价&lt;最高限价×45%。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以满足磋商文件要求且最后投标报价最低的供应商的价格为磋商基准价，其价格分为满分10分，其他供应商的价格分统一按照下列公式计算：磋商报价得分=（磋商基准价/最后磋商报价）×10%×100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全自动显微扫描与稀有细胞富集平台技术开发服务响应报价低于全部通过符合性审查供应商响应报价平均值50%的，即全自动显微扫描与稀有细胞富集平台技术开发服务响应报价&lt;全部通过符合性审查供应商响应报价平均值×50%。</w:t>
              <w:br/>
              <w:t>（2）全自动显微扫描与稀有细胞富集平台技术开发服务响应报价低于通过符合性审查且报价次低供应商响应报价50%的，即全自动显微扫描与稀有细胞富集平台技术开发服务响应报价&lt;通过符合性审查且报价次低供应商响应报价×50%。</w:t>
              <w:br/>
              <w:t>（3）全自动显微扫描与稀有细胞富集平台技术开发服务响应报价低于最高限价45%的，即全自动显微扫描与稀有细胞富集平台技术开发服务响应报价&lt;最高限价×45%。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详见附件：响应书</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详见附件：技术评审方案内容</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