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山东第一医科大学肿瘤放射治疗创新团队试剂耗材购置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SDGP370000000202602005197</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山东俊艺丰项目管理有限公司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山东俊艺丰项目管理有限公司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（以下简称“采购人”）委托，拟对</w:t>
      </w:r>
      <w:r>
        <w:rPr>
          <w:rFonts w:ascii="仿宋_GB2312" w:hAnsi="仿宋_GB2312" w:cs="仿宋_GB2312" w:eastAsia="仿宋_GB2312"/>
        </w:rPr>
        <w:t>山东第一医科大学肿瘤放射治疗创新团队试剂耗材购置</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SDGP370000000202602005197</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山东第一医科大学肿瘤放射治疗创新团队试剂耗材购置</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山东第一医科大学肿瘤放射治疗创新团队试剂耗材购置，本项目共分为两个包，兼投不兼中。</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供应商须提供书面声明并加盖公章。</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6、具有履行合同所必需的设备和专业技术能力：提供具有履行政府采购合同所必需的设备和专业技术能力声明函并加盖公章。</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供应商须提供书面声明并加盖公章。</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6、具有履行合同所必需的设备和专业技术能力：提供具有履行政府采购合同所必需的设备和专业技术能力声明函并加盖公章。</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济南市历下区文东街道环山路55号中润裕华园11号院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英老师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采购包1：300,000.00元</w:t>
            </w:r>
          </w:p>
          <w:p>
            <w:pPr>
              <w:pStyle w:val="null5"/>
              <w:jc w:val="left"/>
            </w:pPr>
            <w:r>
              <w:rPr>
                <w:rFonts w:ascii="仿宋_GB2312" w:hAnsi="仿宋_GB2312" w:cs="仿宋_GB2312" w:eastAsia="仿宋_GB2312"/>
              </w:rPr>
              <w:t>采购包2：260,000.00元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p>
            <w:pPr>
              <w:pStyle w:val="null5"/>
              <w:jc w:val="left"/>
            </w:pPr>
            <w:r>
              <w:rPr>
                <w:rFonts w:ascii="仿宋_GB2312" w:hAnsi="仿宋_GB2312" w:cs="仿宋_GB2312" w:eastAsia="仿宋_GB2312"/>
              </w:rPr>
              <w:t>采购包2：缴纳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自提交首次响应文件的截止之日起90日历天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山东第一医科大学</w:t>
      </w:r>
      <w:r>
        <w:rPr>
          <w:rFonts w:ascii="仿宋_GB2312" w:hAnsi="仿宋_GB2312" w:cs="仿宋_GB2312" w:eastAsia="仿宋_GB2312"/>
        </w:rPr>
        <w:t xml:space="preserve"> 和 </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山东第一医科大学</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按采购文件要求</w:t>
      </w:r>
    </w:p>
    <w:p>
      <w:pPr>
        <w:pStyle w:val="null5"/>
      </w:pPr>
      <w:r>
        <w:rPr>
          <w:rFonts w:ascii="仿宋_GB2312" w:hAnsi="仿宋_GB2312" w:cs="仿宋_GB2312" w:eastAsia="仿宋_GB2312"/>
        </w:rPr>
        <w:t>采购包2：</w:t>
      </w:r>
      <w:r>
        <w:rPr>
          <w:rFonts w:ascii="仿宋_GB2312" w:hAnsi="仿宋_GB2312" w:cs="仿宋_GB2312" w:eastAsia="仿宋_GB2312"/>
        </w:rPr>
        <w:t>按采购文件要求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pPr>
      <w:r>
        <w:rPr>
          <w:rFonts w:ascii="仿宋_GB2312" w:hAnsi="仿宋_GB2312" w:cs="仿宋_GB2312" w:eastAsia="仿宋_GB2312"/>
        </w:rPr>
        <w:t>采购包2：</w:t>
      </w:r>
      <w:r>
        <w:rPr>
          <w:rFonts w:ascii="仿宋_GB2312" w:hAnsi="仿宋_GB2312" w:cs="仿宋_GB2312" w:eastAsia="仿宋_GB2312"/>
        </w:rPr>
        <w:t>按照招标文件规定的技术要求、商务标准、质量标准等进行逐条验收。</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pPr>
      <w:r>
        <w:rPr>
          <w:rFonts w:ascii="仿宋_GB2312" w:hAnsi="仿宋_GB2312" w:cs="仿宋_GB2312" w:eastAsia="仿宋_GB2312"/>
        </w:rPr>
        <w:t>采购包2：</w:t>
      </w:r>
      <w:r>
        <w:rPr>
          <w:rFonts w:ascii="仿宋_GB2312" w:hAnsi="仿宋_GB2312" w:cs="仿宋_GB2312" w:eastAsia="仿宋_GB2312"/>
        </w:rPr>
        <w:t>按照招标文件规定的技术要求、商务标准、质量标准等进行逐条验收。</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依据招标文件的技术、商务要求和国家有关质量标准进行现场验收。</w:t>
      </w:r>
    </w:p>
    <w:p>
      <w:pPr>
        <w:pStyle w:val="null5"/>
      </w:pPr>
      <w:r>
        <w:rPr>
          <w:rFonts w:ascii="仿宋_GB2312" w:hAnsi="仿宋_GB2312" w:cs="仿宋_GB2312" w:eastAsia="仿宋_GB2312"/>
        </w:rPr>
        <w:t>采购包2：</w:t>
      </w:r>
      <w:r>
        <w:rPr>
          <w:rFonts w:ascii="仿宋_GB2312" w:hAnsi="仿宋_GB2312" w:cs="仿宋_GB2312" w:eastAsia="仿宋_GB2312"/>
        </w:rPr>
        <w:t>依据招标文件的技术、商务要求和国家有关质量标准进行现场验收。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按招标文件和采购合同具体要求。</w:t>
      </w:r>
    </w:p>
    <w:p>
      <w:pPr>
        <w:pStyle w:val="null5"/>
      </w:pPr>
      <w:r>
        <w:rPr>
          <w:rFonts w:ascii="仿宋_GB2312" w:hAnsi="仿宋_GB2312" w:cs="仿宋_GB2312" w:eastAsia="仿宋_GB2312"/>
        </w:rPr>
        <w:t>采购包2：</w:t>
      </w:r>
      <w:r>
        <w:rPr>
          <w:rFonts w:ascii="仿宋_GB2312" w:hAnsi="仿宋_GB2312" w:cs="仿宋_GB2312" w:eastAsia="仿宋_GB2312"/>
        </w:rPr>
        <w:t>按招标文件和采购合同具体要求。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山东俊艺丰项目管理有限公司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答复主体：采购单位</w:t>
      </w:r>
    </w:p>
    <w:p>
      <w:pPr>
        <w:pStyle w:val="null5"/>
        <w:jc w:val="left"/>
      </w:pPr>
      <w:r>
        <w:rPr>
          <w:rFonts w:ascii="仿宋_GB2312" w:hAnsi="仿宋_GB2312" w:cs="仿宋_GB2312" w:eastAsia="仿宋_GB2312"/>
        </w:rPr>
        <w:t>联系人：姜老师</w:t>
      </w:r>
    </w:p>
    <w:p>
      <w:pPr>
        <w:pStyle w:val="null5"/>
        <w:jc w:val="left"/>
      </w:pPr>
      <w:r>
        <w:rPr>
          <w:rFonts w:ascii="仿宋_GB2312" w:hAnsi="仿宋_GB2312" w:cs="仿宋_GB2312" w:eastAsia="仿宋_GB2312"/>
        </w:rPr>
        <w:t>联系电话：0531-59556923</w:t>
      </w:r>
    </w:p>
    <w:p>
      <w:pPr>
        <w:pStyle w:val="null5"/>
        <w:jc w:val="left"/>
      </w:pPr>
      <w:r>
        <w:rPr>
          <w:rFonts w:ascii="仿宋_GB2312" w:hAnsi="仿宋_GB2312" w:cs="仿宋_GB2312" w:eastAsia="仿宋_GB2312"/>
        </w:rPr>
        <w:t>地址：山东省济南市槐荫区青岛路6699号</w:t>
      </w:r>
    </w:p>
    <w:p>
      <w:pPr>
        <w:pStyle w:val="null5"/>
        <w:jc w:val="left"/>
      </w:pPr>
      <w:r>
        <w:rPr>
          <w:rFonts w:ascii="仿宋_GB2312" w:hAnsi="仿宋_GB2312" w:cs="仿宋_GB2312" w:eastAsia="仿宋_GB2312"/>
        </w:rPr>
        <w:t>邮编：250000</w:t>
      </w:r>
    </w:p>
    <w:p>
      <w:pPr>
        <w:pStyle w:val="null5"/>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地址：济南市历下区文东街道环山路55号中润裕华园11号院</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300,000.00</w:t>
      </w:r>
    </w:p>
    <w:p>
      <w:pPr>
        <w:pStyle w:val="null5"/>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特级胎牛血清等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300,000.00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260,000.00</w:t>
      </w:r>
    </w:p>
    <w:p>
      <w:pPr>
        <w:pStyle w:val="null5"/>
        <w:jc w:val="left"/>
      </w:pPr>
      <w:r>
        <w:rPr>
          <w:rFonts w:ascii="仿宋_GB2312" w:hAnsi="仿宋_GB2312" w:cs="仿宋_GB2312" w:eastAsia="仿宋_GB2312"/>
        </w:rPr>
        <w:t>采购包最高限价（元）: 260,000.00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基因编辑技术基因敲入鼠等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260,000.00</w:t>
            </w:r>
          </w:p>
        </w:tc>
        <w:tc>
          <w:tcPr>
            <w:tcW w:type="dxa" w:w="923"/>
          </w:tcPr>
          <w:p>
            <w:pPr>
              <w:pStyle w:val="null5"/>
              <w:jc w:val="left"/>
            </w:pPr>
            <w:r>
              <w:rPr>
                <w:rFonts w:ascii="仿宋_GB2312" w:hAnsi="仿宋_GB2312" w:cs="仿宋_GB2312" w:eastAsia="仿宋_GB2312"/>
              </w:rPr>
              <w:t>农、林、牧、渔业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特级胎牛血清等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特级胎牛血清等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特级胎牛血清</w:t>
            </w:r>
          </w:p>
        </w:tc>
        <w:tc>
          <w:tcPr>
            <w:tcW w:type="dxa" w:w="2076"/>
          </w:tcPr>
          <w:p>
            <w:pPr>
              <w:pStyle w:val="null5"/>
              <w:jc w:val="left"/>
            </w:pPr>
            <w:r>
              <w:rPr>
                <w:rFonts w:ascii="仿宋_GB2312" w:hAnsi="仿宋_GB2312" w:cs="仿宋_GB2312" w:eastAsia="仿宋_GB2312"/>
              </w:rPr>
              <w:t>特级胎牛血清</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NLRP3/AIM2-IN-2强效抑制剂</w:t>
            </w:r>
          </w:p>
        </w:tc>
        <w:tc>
          <w:tcPr>
            <w:tcW w:type="dxa" w:w="2076"/>
          </w:tcPr>
          <w:p>
            <w:pPr>
              <w:pStyle w:val="null5"/>
              <w:jc w:val="left"/>
            </w:pPr>
            <w:r>
              <w:rPr>
                <w:rFonts w:ascii="仿宋_GB2312" w:hAnsi="仿宋_GB2312" w:cs="仿宋_GB2312" w:eastAsia="仿宋_GB2312"/>
              </w:rPr>
              <w:t>NLRP3/AIM2-IN-2强效抑制剂</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腺苷比色法测试盒</w:t>
            </w:r>
          </w:p>
        </w:tc>
        <w:tc>
          <w:tcPr>
            <w:tcW w:type="dxa" w:w="2076"/>
          </w:tcPr>
          <w:p>
            <w:pPr>
              <w:pStyle w:val="null5"/>
              <w:jc w:val="left"/>
            </w:pPr>
            <w:r>
              <w:rPr>
                <w:rFonts w:ascii="仿宋_GB2312" w:hAnsi="仿宋_GB2312" w:cs="仿宋_GB2312" w:eastAsia="仿宋_GB2312"/>
              </w:rPr>
              <w:t>腺苷比色法测试盒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人白介素-6 ELISA试剂盒</w:t>
            </w:r>
          </w:p>
        </w:tc>
        <w:tc>
          <w:tcPr>
            <w:tcW w:type="dxa" w:w="2076"/>
          </w:tcPr>
          <w:p>
            <w:pPr>
              <w:pStyle w:val="null5"/>
              <w:jc w:val="left"/>
            </w:pPr>
            <w:r>
              <w:rPr>
                <w:rFonts w:ascii="仿宋_GB2312" w:hAnsi="仿宋_GB2312" w:cs="仿宋_GB2312" w:eastAsia="仿宋_GB2312"/>
              </w:rPr>
              <w:t>人白介素-6 ELISA试剂盒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人TNF-α ELISA试剂盒</w:t>
            </w:r>
          </w:p>
        </w:tc>
        <w:tc>
          <w:tcPr>
            <w:tcW w:type="dxa" w:w="2076"/>
          </w:tcPr>
          <w:p>
            <w:pPr>
              <w:pStyle w:val="null5"/>
              <w:jc w:val="left"/>
            </w:pPr>
            <w:r>
              <w:rPr>
                <w:rFonts w:ascii="仿宋_GB2312" w:hAnsi="仿宋_GB2312" w:cs="仿宋_GB2312" w:eastAsia="仿宋_GB2312"/>
              </w:rPr>
              <w:t>人TNF-α ELISA试剂盒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重组小鼠 AMPK（A1/B2/G1）异源三聚体蛋白</w:t>
            </w:r>
          </w:p>
        </w:tc>
        <w:tc>
          <w:tcPr>
            <w:tcW w:type="dxa" w:w="2076"/>
          </w:tcPr>
          <w:p>
            <w:pPr>
              <w:pStyle w:val="null5"/>
              <w:jc w:val="left"/>
            </w:pPr>
            <w:r>
              <w:rPr>
                <w:rFonts w:ascii="仿宋_GB2312" w:hAnsi="仿宋_GB2312" w:cs="仿宋_GB2312" w:eastAsia="仿宋_GB2312"/>
              </w:rPr>
              <w:t>重组小鼠 AMPK（A1/B2/G1）异源三聚体蛋白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人单核细胞分选试剂盒</w:t>
            </w:r>
          </w:p>
        </w:tc>
        <w:tc>
          <w:tcPr>
            <w:tcW w:type="dxa" w:w="2076"/>
          </w:tcPr>
          <w:p>
            <w:pPr>
              <w:pStyle w:val="null5"/>
              <w:jc w:val="left"/>
            </w:pPr>
            <w:r>
              <w:rPr>
                <w:rFonts w:ascii="仿宋_GB2312" w:hAnsi="仿宋_GB2312" w:cs="仿宋_GB2312" w:eastAsia="仿宋_GB2312"/>
              </w:rPr>
              <w:t>人单核细胞分选试剂盒</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CBLB蛋白</w:t>
            </w:r>
          </w:p>
        </w:tc>
        <w:tc>
          <w:tcPr>
            <w:tcW w:type="dxa" w:w="2076"/>
          </w:tcPr>
          <w:p>
            <w:pPr>
              <w:pStyle w:val="null5"/>
              <w:jc w:val="left"/>
            </w:pPr>
            <w:r>
              <w:rPr>
                <w:rFonts w:ascii="仿宋_GB2312" w:hAnsi="仿宋_GB2312" w:cs="仿宋_GB2312" w:eastAsia="仿宋_GB2312"/>
              </w:rPr>
              <w:t>CBLB蛋白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基于HIV骨架的慢病毒颗粒包装试剂</w:t>
            </w:r>
          </w:p>
        </w:tc>
        <w:tc>
          <w:tcPr>
            <w:tcW w:type="dxa" w:w="2076"/>
          </w:tcPr>
          <w:p>
            <w:pPr>
              <w:pStyle w:val="null5"/>
              <w:jc w:val="left"/>
            </w:pPr>
            <w:r>
              <w:rPr>
                <w:rFonts w:ascii="仿宋_GB2312" w:hAnsi="仿宋_GB2312" w:cs="仿宋_GB2312" w:eastAsia="仿宋_GB2312"/>
              </w:rPr>
              <w:t>基于HIV骨架的慢病毒颗粒包装试剂</w:t>
            </w:r>
          </w:p>
        </w:tc>
        <w:tc>
          <w:tcPr>
            <w:tcW w:type="dxa" w:w="415"/>
          </w:tcPr>
          <w:p>
            <w:pPr>
              <w:pStyle w:val="null5"/>
              <w:jc w:val="left"/>
            </w:pPr>
            <w:r>
              <w:rPr>
                <w:rFonts w:ascii="仿宋_GB2312" w:hAnsi="仿宋_GB2312" w:cs="仿宋_GB2312" w:eastAsia="仿宋_GB2312"/>
              </w:rPr>
              <w:t>包</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GPR41抗体</w:t>
            </w:r>
          </w:p>
        </w:tc>
        <w:tc>
          <w:tcPr>
            <w:tcW w:type="dxa" w:w="2076"/>
          </w:tcPr>
          <w:p>
            <w:pPr>
              <w:pStyle w:val="null5"/>
              <w:jc w:val="left"/>
            </w:pPr>
            <w:r>
              <w:rPr>
                <w:rFonts w:ascii="仿宋_GB2312" w:hAnsi="仿宋_GB2312" w:cs="仿宋_GB2312" w:eastAsia="仿宋_GB2312"/>
              </w:rPr>
              <w:t>GPR41抗体</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重组人STK10蛋白</w:t>
            </w:r>
          </w:p>
        </w:tc>
        <w:tc>
          <w:tcPr>
            <w:tcW w:type="dxa" w:w="2076"/>
          </w:tcPr>
          <w:p>
            <w:pPr>
              <w:pStyle w:val="null5"/>
              <w:jc w:val="left"/>
            </w:pPr>
            <w:r>
              <w:rPr>
                <w:rFonts w:ascii="仿宋_GB2312" w:hAnsi="仿宋_GB2312" w:cs="仿宋_GB2312" w:eastAsia="仿宋_GB2312"/>
              </w:rPr>
              <w:t>重组人STK10蛋白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重组人XRCC4蛋白</w:t>
            </w:r>
          </w:p>
        </w:tc>
        <w:tc>
          <w:tcPr>
            <w:tcW w:type="dxa" w:w="2076"/>
          </w:tcPr>
          <w:p>
            <w:pPr>
              <w:pStyle w:val="null5"/>
              <w:jc w:val="left"/>
            </w:pPr>
            <w:r>
              <w:rPr>
                <w:rFonts w:ascii="仿宋_GB2312" w:hAnsi="仿宋_GB2312" w:cs="仿宋_GB2312" w:eastAsia="仿宋_GB2312"/>
              </w:rPr>
              <w:t>重组人XRCC4蛋白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SIRPA 敲除细胞系 (THP-1)</w:t>
            </w:r>
          </w:p>
        </w:tc>
        <w:tc>
          <w:tcPr>
            <w:tcW w:type="dxa" w:w="2076"/>
          </w:tcPr>
          <w:p>
            <w:pPr>
              <w:pStyle w:val="null5"/>
              <w:jc w:val="left"/>
            </w:pPr>
            <w:r>
              <w:rPr>
                <w:rFonts w:ascii="仿宋_GB2312" w:hAnsi="仿宋_GB2312" w:cs="仿宋_GB2312" w:eastAsia="仿宋_GB2312"/>
              </w:rPr>
              <w:t>SIRPA 敲除细胞系 (THP-1)</w:t>
            </w:r>
          </w:p>
        </w:tc>
        <w:tc>
          <w:tcPr>
            <w:tcW w:type="dxa" w:w="415"/>
          </w:tcPr>
          <w:p>
            <w:pPr>
              <w:pStyle w:val="null5"/>
              <w:jc w:val="left"/>
            </w:pPr>
            <w:r>
              <w:rPr>
                <w:rFonts w:ascii="仿宋_GB2312" w:hAnsi="仿宋_GB2312" w:cs="仿宋_GB2312" w:eastAsia="仿宋_GB2312"/>
              </w:rPr>
              <w:t>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人HNRNPA1重组蛋白</w:t>
            </w:r>
          </w:p>
        </w:tc>
        <w:tc>
          <w:tcPr>
            <w:tcW w:type="dxa" w:w="2076"/>
          </w:tcPr>
          <w:p>
            <w:pPr>
              <w:pStyle w:val="null5"/>
              <w:jc w:val="left"/>
            </w:pPr>
            <w:r>
              <w:rPr>
                <w:rFonts w:ascii="仿宋_GB2312" w:hAnsi="仿宋_GB2312" w:cs="仿宋_GB2312" w:eastAsia="仿宋_GB2312"/>
              </w:rPr>
              <w:t>人HNRNPA1重组蛋白</w:t>
            </w:r>
          </w:p>
        </w:tc>
        <w:tc>
          <w:tcPr>
            <w:tcW w:type="dxa" w:w="415"/>
          </w:tcPr>
          <w:p>
            <w:pPr>
              <w:pStyle w:val="null5"/>
              <w:jc w:val="left"/>
            </w:pPr>
            <w:r>
              <w:rPr>
                <w:rFonts w:ascii="仿宋_GB2312" w:hAnsi="仿宋_GB2312" w:cs="仿宋_GB2312" w:eastAsia="仿宋_GB2312"/>
              </w:rPr>
              <w:t>支</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15</w:t>
            </w:r>
          </w:p>
        </w:tc>
        <w:tc>
          <w:tcPr>
            <w:tcW w:type="dxa" w:w="2076"/>
          </w:tcPr>
          <w:p>
            <w:pPr>
              <w:pStyle w:val="null5"/>
              <w:jc w:val="left"/>
            </w:pPr>
            <w:r>
              <w:rPr>
                <w:rFonts w:ascii="仿宋_GB2312" w:hAnsi="仿宋_GB2312" w:cs="仿宋_GB2312" w:eastAsia="仿宋_GB2312"/>
              </w:rPr>
              <w:t>100um聚苯乙烯纳米微球</w:t>
            </w:r>
          </w:p>
        </w:tc>
        <w:tc>
          <w:tcPr>
            <w:tcW w:type="dxa" w:w="2076"/>
          </w:tcPr>
          <w:p>
            <w:pPr>
              <w:pStyle w:val="null5"/>
              <w:jc w:val="left"/>
            </w:pPr>
            <w:r>
              <w:rPr>
                <w:rFonts w:ascii="仿宋_GB2312" w:hAnsi="仿宋_GB2312" w:cs="仿宋_GB2312" w:eastAsia="仿宋_GB2312"/>
              </w:rPr>
              <w:t>100um聚苯乙烯纳米微球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16</w:t>
            </w:r>
          </w:p>
        </w:tc>
        <w:tc>
          <w:tcPr>
            <w:tcW w:type="dxa" w:w="2076"/>
          </w:tcPr>
          <w:p>
            <w:pPr>
              <w:pStyle w:val="null5"/>
              <w:jc w:val="left"/>
            </w:pPr>
            <w:r>
              <w:rPr>
                <w:rFonts w:ascii="仿宋_GB2312" w:hAnsi="仿宋_GB2312" w:cs="仿宋_GB2312" w:eastAsia="仿宋_GB2312"/>
              </w:rPr>
              <w:t>10um聚苯乙烯纳米微球</w:t>
            </w:r>
          </w:p>
        </w:tc>
        <w:tc>
          <w:tcPr>
            <w:tcW w:type="dxa" w:w="2076"/>
          </w:tcPr>
          <w:p>
            <w:pPr>
              <w:pStyle w:val="null5"/>
              <w:jc w:val="left"/>
            </w:pPr>
            <w:r>
              <w:rPr>
                <w:rFonts w:ascii="仿宋_GB2312" w:hAnsi="仿宋_GB2312" w:cs="仿宋_GB2312" w:eastAsia="仿宋_GB2312"/>
              </w:rPr>
              <w:t>10um聚苯乙烯纳米微球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17</w:t>
            </w:r>
          </w:p>
        </w:tc>
        <w:tc>
          <w:tcPr>
            <w:tcW w:type="dxa" w:w="2076"/>
          </w:tcPr>
          <w:p>
            <w:pPr>
              <w:pStyle w:val="null5"/>
              <w:jc w:val="left"/>
            </w:pPr>
            <w:r>
              <w:rPr>
                <w:rFonts w:ascii="仿宋_GB2312" w:hAnsi="仿宋_GB2312" w:cs="仿宋_GB2312" w:eastAsia="仿宋_GB2312"/>
              </w:rPr>
              <w:t>1um聚苯乙烯纳米微球</w:t>
            </w:r>
          </w:p>
        </w:tc>
        <w:tc>
          <w:tcPr>
            <w:tcW w:type="dxa" w:w="2076"/>
          </w:tcPr>
          <w:p>
            <w:pPr>
              <w:pStyle w:val="null5"/>
              <w:jc w:val="left"/>
            </w:pPr>
            <w:r>
              <w:rPr>
                <w:rFonts w:ascii="仿宋_GB2312" w:hAnsi="仿宋_GB2312" w:cs="仿宋_GB2312" w:eastAsia="仿宋_GB2312"/>
              </w:rPr>
              <w:t>1um聚苯乙烯纳米微球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18</w:t>
            </w:r>
          </w:p>
        </w:tc>
        <w:tc>
          <w:tcPr>
            <w:tcW w:type="dxa" w:w="2076"/>
          </w:tcPr>
          <w:p>
            <w:pPr>
              <w:pStyle w:val="null5"/>
              <w:jc w:val="left"/>
            </w:pPr>
            <w:r>
              <w:rPr>
                <w:rFonts w:ascii="仿宋_GB2312" w:hAnsi="仿宋_GB2312" w:cs="仿宋_GB2312" w:eastAsia="仿宋_GB2312"/>
              </w:rPr>
              <w:t>20nm聚苯乙烯纳米微球</w:t>
            </w:r>
          </w:p>
        </w:tc>
        <w:tc>
          <w:tcPr>
            <w:tcW w:type="dxa" w:w="2076"/>
          </w:tcPr>
          <w:p>
            <w:pPr>
              <w:pStyle w:val="null5"/>
              <w:jc w:val="left"/>
            </w:pPr>
            <w:r>
              <w:rPr>
                <w:rFonts w:ascii="仿宋_GB2312" w:hAnsi="仿宋_GB2312" w:cs="仿宋_GB2312" w:eastAsia="仿宋_GB2312"/>
              </w:rPr>
              <w:t>20nm聚苯乙烯纳米微球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10um PET 微球</w:t>
            </w:r>
          </w:p>
        </w:tc>
        <w:tc>
          <w:tcPr>
            <w:tcW w:type="dxa" w:w="2076"/>
          </w:tcPr>
          <w:p>
            <w:pPr>
              <w:pStyle w:val="null5"/>
              <w:jc w:val="left"/>
            </w:pPr>
            <w:r>
              <w:rPr>
                <w:rFonts w:ascii="仿宋_GB2312" w:hAnsi="仿宋_GB2312" w:cs="仿宋_GB2312" w:eastAsia="仿宋_GB2312"/>
              </w:rPr>
              <w:t>10um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1um PET 微球</w:t>
            </w:r>
          </w:p>
        </w:tc>
        <w:tc>
          <w:tcPr>
            <w:tcW w:type="dxa" w:w="2076"/>
          </w:tcPr>
          <w:p>
            <w:pPr>
              <w:pStyle w:val="null5"/>
              <w:jc w:val="left"/>
            </w:pPr>
            <w:r>
              <w:rPr>
                <w:rFonts w:ascii="仿宋_GB2312" w:hAnsi="仿宋_GB2312" w:cs="仿宋_GB2312" w:eastAsia="仿宋_GB2312"/>
              </w:rPr>
              <w:t>1um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21</w:t>
            </w:r>
          </w:p>
        </w:tc>
        <w:tc>
          <w:tcPr>
            <w:tcW w:type="dxa" w:w="2076"/>
          </w:tcPr>
          <w:p>
            <w:pPr>
              <w:pStyle w:val="null5"/>
              <w:jc w:val="left"/>
            </w:pPr>
            <w:r>
              <w:rPr>
                <w:rFonts w:ascii="仿宋_GB2312" w:hAnsi="仿宋_GB2312" w:cs="仿宋_GB2312" w:eastAsia="仿宋_GB2312"/>
              </w:rPr>
              <w:t>100nm PET 微球</w:t>
            </w:r>
          </w:p>
        </w:tc>
        <w:tc>
          <w:tcPr>
            <w:tcW w:type="dxa" w:w="2076"/>
          </w:tcPr>
          <w:p>
            <w:pPr>
              <w:pStyle w:val="null5"/>
              <w:jc w:val="left"/>
            </w:pPr>
            <w:r>
              <w:rPr>
                <w:rFonts w:ascii="仿宋_GB2312" w:hAnsi="仿宋_GB2312" w:cs="仿宋_GB2312" w:eastAsia="仿宋_GB2312"/>
              </w:rPr>
              <w:t>100nm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22</w:t>
            </w:r>
          </w:p>
        </w:tc>
        <w:tc>
          <w:tcPr>
            <w:tcW w:type="dxa" w:w="2076"/>
          </w:tcPr>
          <w:p>
            <w:pPr>
              <w:pStyle w:val="null5"/>
              <w:jc w:val="left"/>
            </w:pPr>
            <w:r>
              <w:rPr>
                <w:rFonts w:ascii="仿宋_GB2312" w:hAnsi="仿宋_GB2312" w:cs="仿宋_GB2312" w:eastAsia="仿宋_GB2312"/>
              </w:rPr>
              <w:t>20nm PET 微球</w:t>
            </w:r>
          </w:p>
        </w:tc>
        <w:tc>
          <w:tcPr>
            <w:tcW w:type="dxa" w:w="2076"/>
          </w:tcPr>
          <w:p>
            <w:pPr>
              <w:pStyle w:val="null5"/>
              <w:jc w:val="left"/>
            </w:pPr>
            <w:r>
              <w:rPr>
                <w:rFonts w:ascii="仿宋_GB2312" w:hAnsi="仿宋_GB2312" w:cs="仿宋_GB2312" w:eastAsia="仿宋_GB2312"/>
              </w:rPr>
              <w:t>20nm PET 微球</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基因编辑技术基因敲入鼠等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260,000.00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基因编辑技术基因敲入鼠等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基因编辑技术基因敲入鼠</w:t>
            </w:r>
          </w:p>
        </w:tc>
        <w:tc>
          <w:tcPr>
            <w:tcW w:type="dxa" w:w="2076"/>
          </w:tcPr>
          <w:p>
            <w:pPr>
              <w:pStyle w:val="null5"/>
              <w:jc w:val="left"/>
            </w:pPr>
            <w:r>
              <w:rPr>
                <w:rFonts w:ascii="仿宋_GB2312" w:hAnsi="仿宋_GB2312" w:cs="仿宋_GB2312" w:eastAsia="仿宋_GB2312"/>
              </w:rPr>
              <w:t>基因编辑技术基因敲入鼠</w:t>
            </w:r>
          </w:p>
        </w:tc>
        <w:tc>
          <w:tcPr>
            <w:tcW w:type="dxa" w:w="415"/>
          </w:tcPr>
          <w:p>
            <w:pPr>
              <w:pStyle w:val="null5"/>
              <w:jc w:val="left"/>
            </w:pPr>
            <w:r>
              <w:rPr>
                <w:rFonts w:ascii="仿宋_GB2312" w:hAnsi="仿宋_GB2312" w:cs="仿宋_GB2312" w:eastAsia="仿宋_GB2312"/>
              </w:rPr>
              <w:t>品系</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完全性基因敲除（KO）活体小鼠</w:t>
            </w:r>
          </w:p>
        </w:tc>
        <w:tc>
          <w:tcPr>
            <w:tcW w:type="dxa" w:w="2076"/>
          </w:tcPr>
          <w:p>
            <w:pPr>
              <w:pStyle w:val="null5"/>
              <w:jc w:val="left"/>
            </w:pPr>
            <w:r>
              <w:rPr>
                <w:rFonts w:ascii="仿宋_GB2312" w:hAnsi="仿宋_GB2312" w:cs="仿宋_GB2312" w:eastAsia="仿宋_GB2312"/>
              </w:rPr>
              <w:t>完全性基因敲除（KO）活体小鼠</w:t>
            </w:r>
          </w:p>
        </w:tc>
        <w:tc>
          <w:tcPr>
            <w:tcW w:type="dxa" w:w="415"/>
          </w:tcPr>
          <w:p>
            <w:pPr>
              <w:pStyle w:val="null5"/>
              <w:jc w:val="left"/>
            </w:pPr>
            <w:r>
              <w:rPr>
                <w:rFonts w:ascii="仿宋_GB2312" w:hAnsi="仿宋_GB2312" w:cs="仿宋_GB2312" w:eastAsia="仿宋_GB2312"/>
              </w:rPr>
              <w:t>品系</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无衬背的诊断或实验用试剂</w:t>
            </w:r>
          </w:p>
        </w:tc>
        <w:tc>
          <w:tcPr>
            <w:tcW w:type="dxa" w:w="2492"/>
          </w:tcPr>
          <w:p>
            <w:pPr>
              <w:pStyle w:val="null5"/>
              <w:jc w:val="left"/>
            </w:pPr>
            <w:r>
              <w:rPr>
                <w:rFonts w:ascii="仿宋_GB2312" w:hAnsi="仿宋_GB2312" w:cs="仿宋_GB2312" w:eastAsia="仿宋_GB2312"/>
              </w:rPr>
              <w:t>特级胎牛血清等</w:t>
            </w:r>
          </w:p>
        </w:tc>
        <w:tc>
          <w:tcPr>
            <w:tcW w:type="dxa" w:w="2492"/>
          </w:tcPr>
          <w:p>
            <w:pPr>
              <w:pStyle w:val="null5"/>
              <w:jc w:val="left"/>
            </w:pPr>
            <w:r>
              <w:rPr>
                <w:rFonts w:ascii="仿宋_GB2312" w:hAnsi="仿宋_GB2312" w:cs="仿宋_GB2312" w:eastAsia="仿宋_GB2312"/>
              </w:rPr>
              <w:t>特级胎牛血清</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实验用动物</w:t>
            </w:r>
          </w:p>
        </w:tc>
        <w:tc>
          <w:tcPr>
            <w:tcW w:type="dxa" w:w="2492"/>
          </w:tcPr>
          <w:p>
            <w:pPr>
              <w:pStyle w:val="null5"/>
              <w:jc w:val="left"/>
            </w:pPr>
            <w:r>
              <w:rPr>
                <w:rFonts w:ascii="仿宋_GB2312" w:hAnsi="仿宋_GB2312" w:cs="仿宋_GB2312" w:eastAsia="仿宋_GB2312"/>
              </w:rPr>
              <w:t>基因编辑技术基因敲入鼠等</w:t>
            </w:r>
          </w:p>
        </w:tc>
        <w:tc>
          <w:tcPr>
            <w:tcW w:type="dxa" w:w="2492"/>
          </w:tcPr>
          <w:p>
            <w:pPr>
              <w:pStyle w:val="null5"/>
              <w:jc w:val="left"/>
            </w:pPr>
            <w:r>
              <w:rPr>
                <w:rFonts w:ascii="仿宋_GB2312" w:hAnsi="仿宋_GB2312" w:cs="仿宋_GB2312" w:eastAsia="仿宋_GB2312"/>
              </w:rPr>
              <w:t>基因编辑技术基因敲入鼠</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标的名称：特级胎牛血清等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特级胎牛血清</w:t>
            </w:r>
          </w:p>
        </w:tc>
        <w:tc>
          <w:tcPr>
            <w:tcW w:type="dxa" w:w="2076"/>
          </w:tcPr>
          <w:p>
            <w:pPr>
              <w:pStyle w:val="null5"/>
              <w:jc w:val="left"/>
            </w:pPr>
            <w:r>
              <w:rPr>
                <w:rFonts w:ascii="仿宋_GB2312" w:hAnsi="仿宋_GB2312" w:cs="仿宋_GB2312" w:eastAsia="仿宋_GB2312"/>
              </w:rPr>
              <w:t>规格：500ml/瓶， 产地：中国， 用途：原代及免疫细胞、肿瘤细胞系培养 总蛋白：30-45g/L， 内毒素：≤10EU/ml， 无细菌、支原体、噬菌体、病毒等污染。</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NLRP3/AIM2-IN-2强效抑制剂</w:t>
            </w:r>
          </w:p>
        </w:tc>
        <w:tc>
          <w:tcPr>
            <w:tcW w:type="dxa" w:w="2076"/>
          </w:tcPr>
          <w:p>
            <w:pPr>
              <w:pStyle w:val="null5"/>
              <w:jc w:val="left"/>
            </w:pPr>
            <w:r>
              <w:rPr>
                <w:rFonts w:ascii="仿宋_GB2312" w:hAnsi="仿宋_GB2312" w:cs="仿宋_GB2312" w:eastAsia="仿宋_GB2312"/>
              </w:rPr>
              <w:t>100mg/支，分子量257.28，纯度≥99%</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腺苷比色法测试盒</w:t>
            </w:r>
          </w:p>
        </w:tc>
        <w:tc>
          <w:tcPr>
            <w:tcW w:type="dxa" w:w="2076"/>
          </w:tcPr>
          <w:p>
            <w:pPr>
              <w:pStyle w:val="null5"/>
              <w:jc w:val="left"/>
            </w:pPr>
            <w:r>
              <w:rPr>
                <w:rFonts w:ascii="仿宋_GB2312" w:hAnsi="仿宋_GB2312" w:cs="仿宋_GB2312" w:eastAsia="仿宋_GB2312"/>
              </w:rPr>
              <w:t>规格：96T/盒， 种属：人源 检测范围：0.027-1.000 mmol/L 灵敏度：0.027 mmol/L 有效期：≥4个月 样本类型：血清（浆）;动植物组织;细胞</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人白介素-6 ELISA试剂盒</w:t>
            </w:r>
          </w:p>
        </w:tc>
        <w:tc>
          <w:tcPr>
            <w:tcW w:type="dxa" w:w="2076"/>
          </w:tcPr>
          <w:p>
            <w:pPr>
              <w:pStyle w:val="null5"/>
              <w:jc w:val="left"/>
            </w:pPr>
            <w:r>
              <w:rPr>
                <w:rFonts w:ascii="仿宋_GB2312" w:hAnsi="仿宋_GB2312" w:cs="仿宋_GB2312" w:eastAsia="仿宋_GB2312"/>
              </w:rPr>
              <w:t>规格：96T/盒， 种属：人源 检测范围：1.56-100 pg/mL 灵敏度：0.94 pg/mL 有效期：≥6个月 样本类型：血清、血浆或其他生物体液</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人TNF-α ELISA试剂盒</w:t>
            </w:r>
          </w:p>
        </w:tc>
        <w:tc>
          <w:tcPr>
            <w:tcW w:type="dxa" w:w="2076"/>
          </w:tcPr>
          <w:p>
            <w:pPr>
              <w:pStyle w:val="null5"/>
              <w:jc w:val="left"/>
            </w:pPr>
            <w:r>
              <w:rPr>
                <w:rFonts w:ascii="仿宋_GB2312" w:hAnsi="仿宋_GB2312" w:cs="仿宋_GB2312" w:eastAsia="仿宋_GB2312"/>
              </w:rPr>
              <w:t>规格：96T/盒， 种属：人源 检测范围：7.81-500 pg/mL 灵敏度：4.69 pg/mL 有效期：≥6个月 样本类型：血清、血浆或其他生物体液</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重组小鼠 AMPK（A1/B2/G1）异源三聚体蛋白</w:t>
            </w:r>
          </w:p>
        </w:tc>
        <w:tc>
          <w:tcPr>
            <w:tcW w:type="dxa" w:w="2076"/>
          </w:tcPr>
          <w:p>
            <w:pPr>
              <w:pStyle w:val="null5"/>
              <w:jc w:val="left"/>
            </w:pPr>
            <w:r>
              <w:rPr>
                <w:rFonts w:ascii="仿宋_GB2312" w:hAnsi="仿宋_GB2312" w:cs="仿宋_GB2312" w:eastAsia="仿宋_GB2312"/>
              </w:rPr>
              <w:t>规格：500ug/支 种属：小鼠 标签：His 表达宿主：Baculovirus-Insect Cells</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人单核细胞分选试剂盒</w:t>
            </w:r>
          </w:p>
        </w:tc>
        <w:tc>
          <w:tcPr>
            <w:tcW w:type="dxa" w:w="2076"/>
          </w:tcPr>
          <w:p>
            <w:pPr>
              <w:pStyle w:val="null5"/>
              <w:jc w:val="left"/>
            </w:pPr>
            <w:r>
              <w:rPr>
                <w:rFonts w:ascii="仿宋_GB2312" w:hAnsi="仿宋_GB2312" w:cs="仿宋_GB2312" w:eastAsia="仿宋_GB2312"/>
              </w:rPr>
              <w:t>处理1x10^9细胞/盒， 分选方式：阴选，纯度≥85%</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CBLB蛋白</w:t>
            </w:r>
          </w:p>
        </w:tc>
        <w:tc>
          <w:tcPr>
            <w:tcW w:type="dxa" w:w="2076"/>
          </w:tcPr>
          <w:p>
            <w:pPr>
              <w:pStyle w:val="null5"/>
              <w:jc w:val="left"/>
            </w:pPr>
            <w:r>
              <w:rPr>
                <w:rFonts w:ascii="仿宋_GB2312" w:hAnsi="仿宋_GB2312" w:cs="仿宋_GB2312" w:eastAsia="仿宋_GB2312"/>
              </w:rPr>
              <w:t>规格：100ug/支 要求：2-3步纯化，纯度≥90%</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基于HIV骨架的慢病毒颗粒包装试剂</w:t>
            </w:r>
          </w:p>
        </w:tc>
        <w:tc>
          <w:tcPr>
            <w:tcW w:type="dxa" w:w="2076"/>
          </w:tcPr>
          <w:p>
            <w:pPr>
              <w:pStyle w:val="null5"/>
              <w:jc w:val="left"/>
            </w:pPr>
            <w:r>
              <w:rPr>
                <w:rFonts w:ascii="仿宋_GB2312" w:hAnsi="仿宋_GB2312" w:cs="仿宋_GB2312" w:eastAsia="仿宋_GB2312"/>
              </w:rPr>
              <w:t>规格：40次反应/盒， 成分：混合包装质粒、EndoFectin-Lenti 转染试剂、 可进一步提高滴度的 TiterBoost滴度增强剂、以及 eGFP 阳性对照质粒</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GPR41抗体</w:t>
            </w:r>
          </w:p>
        </w:tc>
        <w:tc>
          <w:tcPr>
            <w:tcW w:type="dxa" w:w="2076"/>
          </w:tcPr>
          <w:p>
            <w:pPr>
              <w:pStyle w:val="null5"/>
              <w:jc w:val="left"/>
            </w:pPr>
            <w:r>
              <w:rPr>
                <w:rFonts w:ascii="仿宋_GB2312" w:hAnsi="仿宋_GB2312" w:cs="仿宋_GB2312" w:eastAsia="仿宋_GB2312"/>
              </w:rPr>
              <w:t>规格：200ul/支 种属：兔 反应种属：人、大鼠，用于IHC</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重组人STK10蛋白</w:t>
            </w:r>
          </w:p>
        </w:tc>
        <w:tc>
          <w:tcPr>
            <w:tcW w:type="dxa" w:w="2076"/>
          </w:tcPr>
          <w:p>
            <w:pPr>
              <w:pStyle w:val="null5"/>
              <w:jc w:val="left"/>
            </w:pPr>
            <w:r>
              <w:rPr>
                <w:rFonts w:ascii="仿宋_GB2312" w:hAnsi="仿宋_GB2312" w:cs="仿宋_GB2312" w:eastAsia="仿宋_GB2312"/>
              </w:rPr>
              <w:t>规格：100ug/支 蛋白种属：人 表达宿主：大肠杆菌，Unitprot ID:O94804</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重组人XRCC4蛋白</w:t>
            </w:r>
          </w:p>
        </w:tc>
        <w:tc>
          <w:tcPr>
            <w:tcW w:type="dxa" w:w="2076"/>
          </w:tcPr>
          <w:p>
            <w:pPr>
              <w:pStyle w:val="null5"/>
              <w:jc w:val="left"/>
            </w:pPr>
            <w:r>
              <w:rPr>
                <w:rFonts w:ascii="仿宋_GB2312" w:hAnsi="仿宋_GB2312" w:cs="仿宋_GB2312" w:eastAsia="仿宋_GB2312"/>
              </w:rPr>
              <w:t>规格：100ug/支 蛋白种属：人 表达宿主：大肠杆菌，Unitprot ID:Q13426</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SIRPA 敲除细胞系 (THP-1)</w:t>
            </w:r>
          </w:p>
        </w:tc>
        <w:tc>
          <w:tcPr>
            <w:tcW w:type="dxa" w:w="2076"/>
          </w:tcPr>
          <w:p>
            <w:pPr>
              <w:pStyle w:val="null5"/>
              <w:jc w:val="left"/>
            </w:pPr>
            <w:r>
              <w:rPr>
                <w:rFonts w:ascii="仿宋_GB2312" w:hAnsi="仿宋_GB2312" w:cs="仿宋_GB2312" w:eastAsia="仿宋_GB2312"/>
              </w:rPr>
              <w:t>1*10^6 Cell/管（冻存细胞），干冰运输。对THP-1细胞SIRPA基因进行敲除的细胞系</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人HNRNPA1重组蛋白</w:t>
            </w:r>
          </w:p>
        </w:tc>
        <w:tc>
          <w:tcPr>
            <w:tcW w:type="dxa" w:w="2076"/>
          </w:tcPr>
          <w:p>
            <w:pPr>
              <w:pStyle w:val="null5"/>
              <w:jc w:val="left"/>
            </w:pPr>
            <w:r>
              <w:rPr>
                <w:rFonts w:ascii="仿宋_GB2312" w:hAnsi="仿宋_GB2312" w:cs="仿宋_GB2312" w:eastAsia="仿宋_GB2312"/>
              </w:rPr>
              <w:t>规格：20ug/支 种属：人 来源：大肠杆菌 标签：N-terminal 6xHis-tagged</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100um聚苯乙烯纳米微球</w:t>
            </w:r>
          </w:p>
        </w:tc>
        <w:tc>
          <w:tcPr>
            <w:tcW w:type="dxa" w:w="2076"/>
          </w:tcPr>
          <w:p>
            <w:pPr>
              <w:pStyle w:val="null5"/>
              <w:jc w:val="left"/>
            </w:pPr>
            <w:r>
              <w:rPr>
                <w:rFonts w:ascii="仿宋_GB2312" w:hAnsi="仿宋_GB2312" w:cs="仿宋_GB2312" w:eastAsia="仿宋_GB2312"/>
              </w:rPr>
              <w:t>规格：1g/个，浓度 50mg/ml</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10um聚苯乙烯纳米微球</w:t>
            </w:r>
          </w:p>
        </w:tc>
        <w:tc>
          <w:tcPr>
            <w:tcW w:type="dxa" w:w="2076"/>
          </w:tcPr>
          <w:p>
            <w:pPr>
              <w:pStyle w:val="null5"/>
              <w:jc w:val="left"/>
            </w:pPr>
            <w:r>
              <w:rPr>
                <w:rFonts w:ascii="仿宋_GB2312" w:hAnsi="仿宋_GB2312" w:cs="仿宋_GB2312" w:eastAsia="仿宋_GB2312"/>
              </w:rPr>
              <w:t>规格：1ml/个，浓度 50mg/ml</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1um聚苯乙烯纳米微球</w:t>
            </w:r>
          </w:p>
        </w:tc>
        <w:tc>
          <w:tcPr>
            <w:tcW w:type="dxa" w:w="2076"/>
          </w:tcPr>
          <w:p>
            <w:pPr>
              <w:pStyle w:val="null5"/>
              <w:jc w:val="left"/>
            </w:pPr>
            <w:r>
              <w:rPr>
                <w:rFonts w:ascii="仿宋_GB2312" w:hAnsi="仿宋_GB2312" w:cs="仿宋_GB2312" w:eastAsia="仿宋_GB2312"/>
              </w:rPr>
              <w:t>规格：1ml/个，浓度 50mg/ml</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20nm聚苯乙烯纳米微球</w:t>
            </w:r>
          </w:p>
        </w:tc>
        <w:tc>
          <w:tcPr>
            <w:tcW w:type="dxa" w:w="2076"/>
          </w:tcPr>
          <w:p>
            <w:pPr>
              <w:pStyle w:val="null5"/>
              <w:jc w:val="left"/>
            </w:pPr>
            <w:r>
              <w:rPr>
                <w:rFonts w:ascii="仿宋_GB2312" w:hAnsi="仿宋_GB2312" w:cs="仿宋_GB2312" w:eastAsia="仿宋_GB2312"/>
              </w:rPr>
              <w:t>规格：10ml/个，浓度 50mg/ml</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10um PET 微球</w:t>
            </w:r>
          </w:p>
        </w:tc>
        <w:tc>
          <w:tcPr>
            <w:tcW w:type="dxa" w:w="2076"/>
          </w:tcPr>
          <w:p>
            <w:pPr>
              <w:pStyle w:val="null5"/>
              <w:jc w:val="left"/>
            </w:pPr>
            <w:r>
              <w:rPr>
                <w:rFonts w:ascii="仿宋_GB2312" w:hAnsi="仿宋_GB2312" w:cs="仿宋_GB2312" w:eastAsia="仿宋_GB2312"/>
              </w:rPr>
              <w:t>规格：10ml/个，浓度25mg/ml</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1um PET 微球</w:t>
            </w:r>
          </w:p>
        </w:tc>
        <w:tc>
          <w:tcPr>
            <w:tcW w:type="dxa" w:w="2076"/>
          </w:tcPr>
          <w:p>
            <w:pPr>
              <w:pStyle w:val="null5"/>
              <w:jc w:val="left"/>
            </w:pPr>
            <w:r>
              <w:rPr>
                <w:rFonts w:ascii="仿宋_GB2312" w:hAnsi="仿宋_GB2312" w:cs="仿宋_GB2312" w:eastAsia="仿宋_GB2312"/>
              </w:rPr>
              <w:t>规格：10ml/个，浓度25mg/ml</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100nm PET 微球</w:t>
            </w:r>
          </w:p>
        </w:tc>
        <w:tc>
          <w:tcPr>
            <w:tcW w:type="dxa" w:w="2076"/>
          </w:tcPr>
          <w:p>
            <w:pPr>
              <w:pStyle w:val="null5"/>
              <w:jc w:val="left"/>
            </w:pPr>
            <w:r>
              <w:rPr>
                <w:rFonts w:ascii="仿宋_GB2312" w:hAnsi="仿宋_GB2312" w:cs="仿宋_GB2312" w:eastAsia="仿宋_GB2312"/>
              </w:rPr>
              <w:t>规格：10ml/个，浓度25mg/ml</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20nm PET 微球</w:t>
            </w:r>
          </w:p>
        </w:tc>
        <w:tc>
          <w:tcPr>
            <w:tcW w:type="dxa" w:w="2076"/>
          </w:tcPr>
          <w:p>
            <w:pPr>
              <w:pStyle w:val="null5"/>
              <w:jc w:val="left"/>
            </w:pPr>
            <w:r>
              <w:rPr>
                <w:rFonts w:ascii="仿宋_GB2312" w:hAnsi="仿宋_GB2312" w:cs="仿宋_GB2312" w:eastAsia="仿宋_GB2312"/>
              </w:rPr>
              <w:t>规格：10ml/个，浓度25mg/ml</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标的名称：基因编辑技术基因敲入鼠等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基因编辑技术基因敲入鼠</w:t>
            </w:r>
          </w:p>
        </w:tc>
        <w:tc>
          <w:tcPr>
            <w:tcW w:type="dxa" w:w="2076"/>
          </w:tcPr>
          <w:p>
            <w:pPr>
              <w:pStyle w:val="null5"/>
              <w:jc w:val="left"/>
            </w:pPr>
            <w:r>
              <w:rPr>
                <w:rFonts w:ascii="仿宋_GB2312" w:hAnsi="仿宋_GB2312" w:cs="仿宋_GB2312" w:eastAsia="仿宋_GB2312"/>
                <w:sz w:val="16"/>
                <w:color w:val="000000"/>
              </w:rPr>
              <w:t>根据采购人提供的目标基因，构建并繁殖</w:t>
            </w:r>
            <w:r>
              <w:rPr>
                <w:rFonts w:ascii="仿宋_GB2312" w:hAnsi="仿宋_GB2312" w:cs="仿宋_GB2312" w:eastAsia="仿宋_GB2312"/>
                <w:sz w:val="16"/>
                <w:color w:val="000000"/>
              </w:rPr>
              <w:t>SPF级条件性基因敲入小鼠：</w:t>
            </w:r>
            <w:r>
              <w:br/>
            </w:r>
            <w:r>
              <w:rPr>
                <w:rFonts w:ascii="仿宋_GB2312" w:hAnsi="仿宋_GB2312" w:cs="仿宋_GB2312" w:eastAsia="仿宋_GB2312"/>
                <w:sz w:val="16"/>
                <w:color w:val="000000"/>
              </w:rPr>
              <w:t>1.采用基因打靶技术，将启动子、两侧带有loxP位点的转录终止序列、目标基因编码序列及报告基因等元件，精确插入采购人指定的安全位点中，构建条件性基因敲入载体。</w:t>
            </w:r>
            <w:r>
              <w:br/>
            </w:r>
            <w:r>
              <w:rPr>
                <w:rFonts w:ascii="仿宋_GB2312" w:hAnsi="仿宋_GB2312" w:cs="仿宋_GB2312" w:eastAsia="仿宋_GB2312"/>
                <w:sz w:val="16"/>
                <w:color w:val="000000"/>
              </w:rPr>
              <w:t>2.通过显微注射与胚胎移植获得F0代小鼠，经PCR及测序鉴定筛选出基因组编辑成功的阳性</w:t>
            </w:r>
            <w:r>
              <w:rPr>
                <w:rFonts w:ascii="仿宋_GB2312" w:hAnsi="仿宋_GB2312" w:cs="仿宋_GB2312" w:eastAsia="仿宋_GB2312"/>
                <w:sz w:val="16"/>
                <w:color w:val="000000"/>
              </w:rPr>
              <w:t>个体。</w:t>
            </w:r>
            <w:r>
              <w:br/>
            </w:r>
            <w:r>
              <w:rPr>
                <w:rFonts w:ascii="仿宋_GB2312" w:hAnsi="仿宋_GB2312" w:cs="仿宋_GB2312" w:eastAsia="仿宋_GB2312"/>
                <w:sz w:val="16"/>
                <w:color w:val="000000"/>
              </w:rPr>
              <w:t>3.将阳性</w:t>
            </w:r>
            <w:r>
              <w:rPr>
                <w:rFonts w:ascii="仿宋_GB2312" w:hAnsi="仿宋_GB2312" w:cs="仿宋_GB2312" w:eastAsia="仿宋_GB2312"/>
                <w:sz w:val="16"/>
                <w:color w:val="000000"/>
              </w:rPr>
              <w:t>小鼠与野生型小鼠配繁，在其子代（</w:t>
            </w:r>
            <w:r>
              <w:rPr>
                <w:rFonts w:ascii="仿宋_GB2312" w:hAnsi="仿宋_GB2312" w:cs="仿宋_GB2312" w:eastAsia="仿宋_GB2312"/>
                <w:sz w:val="16"/>
                <w:color w:val="000000"/>
              </w:rPr>
              <w:t>F1代）中鉴定出能够稳定遗传目标敲入等位基因的杂合子（KI/+）小鼠，并建立稳定种群。</w:t>
            </w:r>
          </w:p>
          <w:p>
            <w:pPr>
              <w:pStyle w:val="null5"/>
              <w:jc w:val="left"/>
            </w:pPr>
            <w:r>
              <w:rPr>
                <w:rFonts w:ascii="仿宋_GB2312" w:hAnsi="仿宋_GB2312" w:cs="仿宋_GB2312" w:eastAsia="仿宋_GB2312"/>
                <w:sz w:val="16"/>
                <w:color w:val="000000"/>
              </w:rPr>
              <w:t>4.6-8个月内完成单个品系构建，提供本项目基因编辑小鼠3年</w:t>
            </w:r>
            <w:r>
              <w:rPr>
                <w:rFonts w:ascii="仿宋_GB2312" w:hAnsi="仿宋_GB2312" w:cs="仿宋_GB2312" w:eastAsia="仿宋_GB2312"/>
                <w:sz w:val="16"/>
                <w:color w:val="000000"/>
              </w:rPr>
              <w:t>精子冻存服务。</w:t>
            </w:r>
            <w:r>
              <w:rPr>
                <w:rFonts w:ascii="仿宋_GB2312" w:hAnsi="仿宋_GB2312" w:cs="仿宋_GB2312" w:eastAsia="仿宋_GB2312"/>
                <w:sz w:val="16"/>
                <w:color w:val="000000"/>
              </w:rPr>
              <w:t>每</w:t>
            </w:r>
            <w:r>
              <w:rPr>
                <w:rFonts w:ascii="仿宋_GB2312" w:hAnsi="仿宋_GB2312" w:cs="仿宋_GB2312" w:eastAsia="仿宋_GB2312"/>
                <w:sz w:val="16"/>
                <w:color w:val="000000"/>
              </w:rPr>
              <w:t>品系</w:t>
            </w:r>
            <w:r>
              <w:rPr>
                <w:rFonts w:ascii="仿宋_GB2312" w:hAnsi="仿宋_GB2312" w:cs="仿宋_GB2312" w:eastAsia="仿宋_GB2312"/>
                <w:sz w:val="16"/>
                <w:color w:val="000000"/>
              </w:rPr>
              <w:t>最终交付不少于</w:t>
            </w:r>
            <w:r>
              <w:rPr>
                <w:rFonts w:ascii="仿宋_GB2312" w:hAnsi="仿宋_GB2312" w:cs="仿宋_GB2312" w:eastAsia="仿宋_GB2312"/>
                <w:sz w:val="16"/>
                <w:color w:val="000000"/>
              </w:rPr>
              <w:t>3只F1代杂合子（KI/+）小鼠。所有操作及饲养均在SPF级环境中进行。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完全性基因敲除（KO）活体小鼠</w:t>
            </w:r>
          </w:p>
        </w:tc>
        <w:tc>
          <w:tcPr>
            <w:tcW w:type="dxa" w:w="2076"/>
          </w:tcPr>
          <w:p>
            <w:pPr>
              <w:pStyle w:val="null5"/>
              <w:jc w:val="left"/>
            </w:pPr>
            <w:r>
              <w:rPr>
                <w:rFonts w:ascii="仿宋_GB2312" w:hAnsi="仿宋_GB2312" w:cs="仿宋_GB2312" w:eastAsia="仿宋_GB2312"/>
                <w:sz w:val="16"/>
                <w:color w:val="000000"/>
              </w:rPr>
              <w:t>根据采购人提供的目标基因，采购并交付</w:t>
            </w:r>
            <w:r>
              <w:rPr>
                <w:rFonts w:ascii="仿宋_GB2312" w:hAnsi="仿宋_GB2312" w:cs="仿宋_GB2312" w:eastAsia="仿宋_GB2312"/>
                <w:sz w:val="16"/>
                <w:color w:val="000000"/>
              </w:rPr>
              <w:t>SPF级完全性基因敲除（KO）活体小鼠：</w:t>
            </w:r>
            <w:r>
              <w:br/>
            </w:r>
            <w:r>
              <w:rPr>
                <w:rFonts w:ascii="仿宋_GB2312" w:hAnsi="仿宋_GB2312" w:cs="仿宋_GB2312" w:eastAsia="仿宋_GB2312"/>
                <w:sz w:val="16"/>
                <w:color w:val="000000"/>
              </w:rPr>
              <w:t>1.采用基因编辑技术构建完全性基因敲除小鼠品系，经传代建系后获得稳定遗传的纯合子（-/-）个体，品系背景为C57BL/6J，动物级别为SPF级。</w:t>
            </w:r>
            <w:r>
              <w:br/>
            </w:r>
            <w:r>
              <w:rPr>
                <w:rFonts w:ascii="仿宋_GB2312" w:hAnsi="仿宋_GB2312" w:cs="仿宋_GB2312" w:eastAsia="仿宋_GB2312"/>
                <w:sz w:val="16"/>
                <w:color w:val="000000"/>
              </w:rPr>
              <w:t>2.3个月内完成交付，交付的小鼠为目标基因敲除纯合子个体。</w:t>
            </w:r>
            <w:r>
              <w:rPr>
                <w:rFonts w:ascii="仿宋_GB2312" w:hAnsi="仿宋_GB2312" w:cs="仿宋_GB2312" w:eastAsia="仿宋_GB2312"/>
                <w:sz w:val="16"/>
                <w:color w:val="000000"/>
              </w:rPr>
              <w:t>每品系</w:t>
            </w:r>
            <w:r>
              <w:rPr>
                <w:rFonts w:ascii="仿宋_GB2312" w:hAnsi="仿宋_GB2312" w:cs="仿宋_GB2312" w:eastAsia="仿宋_GB2312"/>
                <w:sz w:val="16"/>
                <w:color w:val="000000"/>
              </w:rPr>
              <w:t>交付数量不少于</w:t>
            </w:r>
            <w:r>
              <w:rPr>
                <w:rFonts w:ascii="仿宋_GB2312" w:hAnsi="仿宋_GB2312" w:cs="仿宋_GB2312" w:eastAsia="仿宋_GB2312"/>
                <w:sz w:val="16"/>
                <w:color w:val="000000"/>
              </w:rPr>
              <w:t>4只阳性小鼠。</w:t>
            </w:r>
            <w:r>
              <w:br/>
            </w:r>
            <w:r>
              <w:rPr>
                <w:rFonts w:ascii="仿宋_GB2312" w:hAnsi="仿宋_GB2312" w:cs="仿宋_GB2312" w:eastAsia="仿宋_GB2312"/>
                <w:sz w:val="16"/>
                <w:color w:val="000000"/>
              </w:rPr>
              <w:t>3.</w:t>
            </w:r>
            <w:r>
              <w:rPr>
                <w:rFonts w:ascii="仿宋_GB2312" w:hAnsi="仿宋_GB2312" w:cs="仿宋_GB2312" w:eastAsia="仿宋_GB2312"/>
                <w:sz w:val="16"/>
                <w:color w:val="000000"/>
              </w:rPr>
              <w:t>供应商</w:t>
            </w:r>
            <w:r>
              <w:rPr>
                <w:rFonts w:ascii="仿宋_GB2312" w:hAnsi="仿宋_GB2312" w:cs="仿宋_GB2312" w:eastAsia="仿宋_GB2312"/>
                <w:sz w:val="16"/>
                <w:color w:val="000000"/>
              </w:rPr>
              <w:t>提供本协议涉及品系的永久精子冻存服务；后续如需再次获得该品系小鼠，仅需支付精子复苏费用。</w:t>
            </w:r>
            <w:r>
              <w:br/>
            </w:r>
            <w:r>
              <w:rPr>
                <w:rFonts w:ascii="仿宋_GB2312" w:hAnsi="仿宋_GB2312" w:cs="仿宋_GB2312" w:eastAsia="仿宋_GB2312"/>
                <w:sz w:val="16"/>
                <w:color w:val="000000"/>
              </w:rPr>
              <w:t>4.所有小鼠的饲养、包装及运输均在SPF级环境中进行。</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货物有效期</w:t>
            </w:r>
          </w:p>
        </w:tc>
        <w:tc>
          <w:tcPr>
            <w:tcW w:type="dxa" w:w="4153"/>
          </w:tcPr>
          <w:p>
            <w:pPr>
              <w:pStyle w:val="null5"/>
              <w:jc w:val="left"/>
            </w:pPr>
            <w:r>
              <w:rPr>
                <w:rFonts w:ascii="仿宋_GB2312" w:hAnsi="仿宋_GB2312" w:cs="仿宋_GB2312" w:eastAsia="仿宋_GB2312"/>
              </w:rPr>
              <w:t>所有试剂耗材须为原厂原装、未开封、在有效期内产品；技术要求中未明确标注剩余有效期的，交货时剩余有效期不得少于产品出厂总有效期的 2/3（原装未开封、正常储存条件下）。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服务要求</w:t>
            </w:r>
          </w:p>
        </w:tc>
        <w:tc>
          <w:tcPr>
            <w:tcW w:type="dxa" w:w="4153"/>
          </w:tcPr>
          <w:p>
            <w:pPr>
              <w:pStyle w:val="null5"/>
              <w:jc w:val="left"/>
            </w:pPr>
            <w:r>
              <w:rPr>
                <w:rFonts w:ascii="仿宋_GB2312" w:hAnsi="仿宋_GB2312" w:cs="仿宋_GB2312" w:eastAsia="仿宋_GB2312"/>
              </w:rPr>
              <w:t>1.交付的动物符合国际SPF 检测标准。 2.提供技术培训及咨询服务。 3.按采购人所撰写文章拟投杂志的要求提供小鼠技术参数。</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合同签订后，30日内供货。</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质保期：自验收合格之日起1年，国家主管部门或者行业标准对货物本身有更高要求的，从其规定并在合同中约定。</w:t>
              <w:br/>
              <w:t>质量保证期内，如果证实货物是有缺陷的，包括潜在的缺陷或者使用不符合要求的材料等，供应商应立即维修或者更换有缺陷的货物或者部件，保证达到合同规定的技术以及性能要求。如果供应商在收到通知后5天内没有弥补缺陷，采购人可自行采取必要的补救措施，但风险和费用由供应商承担，采购人同时保留通过法律途径进行索赔的权利。</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履约保证金：1.⾃成交公告发布之⽇起3个⼯作⽇内成交供应商向采购⼈指定账⼾缴纳合同总价的5%作为履约保证⾦（中小微企业为2%）。缴纳账⼾信息如下：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合同签订后，180-240日内供货。供应商可自报最短交货期，最晚不应迟于240日。</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预付款，合同⽣效且具备实施条件后，成交供应商向采购⼈的项⽬负责⼈或指定⼈申请预付款，达到付款条件起7个工作日内，支付合同总金额的30.0%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进度款，项⽬验收合格后，达到付款条件起7个工作日内，支付合同总金额的70.0%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项目验收合格后，至少提供一年的售后服务。</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履约保证金：1.⾃成交公告发布之⽇起3个⼯作⽇内成交供应商向采购⼈指定账⼾缴纳合同总价的5%作为履约保证⾦（中小微企业为2%）。缴纳账⼾信息如下： 开⼾单位：⼭东第⼀医科⼤学 开⼾银⾏：中国农业银⾏股份有限公司济南槐荫⽀⾏ 账号：15126101040096666 2.履约保证⾦形式：电汇形式、银⾏汇票（供应商应在响应⽂件中明确具体递交形式）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1.提供的货物应符合相关行业标准或国家标准，如没有明确的国家标准或行业标准，则需满足合同中约定的特定质量要求。要保证项目运行的稳定性、可行性、安全性等。 2.如货物出现问题，供应商应在接采购人通知后做出响应，不能在规定时间内修好的要提供备品备件确保不影响采购人正常使用。 3.非活体货物供应商须向采购人提供货物中文操作手册并培训操作人员，其中包括讲解产品的使用说明以及注意事项等。 4.提供7×24小时售后服务，4小时内响应。 5.验收 （1）采购人应专门成立履约验收小组，验收人员应与采购人员相分离，验收应严格遵循《中华人民共和国产品质量法》等标准，符合采购文件要求，响应文件及供应商在评审过程中做出的书面澄清及承诺，冲突之处执行最高标准。 （2）货物运抵现场后，中标人应派技术人员到达现场，采购人将对货物数量、质量、规格等进行检验。如发现货物和规格或者两者都与招标文件、投标文件、合同不符，采购人有权限根据检验结果要求中标人立即更换或者提出索赔要求。 （3）货物由中标人进行储存、运输，并承担因此发生的一切费用。采购人应对货物的数量、质量、规格、性能等进行详细而全面的检验。中标供应商应向采购人提供详细的验收标准和验收手册。供货完毕后，证明货物以及运输、储存无任何问题，由采购人组成的验收小组签署验收报告，作为付款凭据之一。 （4）对安装有特殊要求的货物，中标人应在合同签订后10个工作日内以书面形式向采购人提出安装场地环境要求，采购人负责安装场地的准备。 （5）由采购人组织验收小组进行项目履约验收，验收前将根据项目特点、采购文件、中标人响应文件及校内规定制定验收方案，执行验收意见，出具验收意见，并填报履约验收书。验收须留存验收合格单，作为财务报销凭据之一。：</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1.提供7×24小时售后服务，4小时内响应。 2.验收 （1）采购人应专门成立履约验收小组，验收人员应与采购人员相分离，验收应严格遵循《中华人民共和国产品质量法》等标准，符合采购文件要求，响应文件及供应商在评审过程中做出的书面澄清及承诺，冲突之处执行最高标准。 （2）货物运抵现场后，中标人应派技术人员到达现场，采购人将对货物数量、质量、规格等进行检验。如发现货物和规格或者两者都与招标文件、投标文件、合同不符，采购人有权限根据检验结果要求中标人立即更换或者提出索赔要求。 （3）货物由中标人进行储存、运输，并承担因此发生的一切费用。采购人应对货物的数量、质量、规格、性能等进行详细而全面的检验。中标供应商应向采购人提供详细的验收标准和验收手册。供货完毕后，证明货物以及运输、储存无任何问题，由采购人组成的验收小组签署验收报告，作为付款凭据之一。 （4）对安装有特殊要求的货物，中标人应在合同签订后10个工作日内以书面形式向采购人提出安装场地环境要求，采购人负责安装场地的准备。 （5）由采购人组织验收小组进行项目履约验收，验收前将根据项目特点、采购文件、中标人响应文件及校内规定制定验收方案，执行验收意见，出具验收意见，并填报履约验收书。验收须留存验收合格单，作为财务报销凭据之一。：</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单位负责人为同一人或者存在直接控股、管理关系的不同供应商，不得参加同一合同项下的采购活动，供应商须提供书面声明并加盖公章。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供应商应提交的相关证明材料、无重大违法记录声明函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提供具有履行政府采购合同所必需的设备和专业技术能力声明函并加盖公章。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单位负责人为同一人或者存在直接控股、管理关系的不同供应商，不得参加同一合同项下的采购活动，供应商须提供书面声明并加盖公章。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提供具有履行政府采购合同所必需的设备和专业技术能力声明函并加盖公章。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投标人承诺函、其他材料、供应商应提交的相关证明材料、封面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投标人承诺函、自觉抵制政府采购领域商业贿赂行为承诺书、法定代表人资格证明书或法定代表人授权委托书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投标人承诺函、其他材料、供应商应提交的相关证明材料、封面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根据投标文件技术条款进行综合评审，技术参数全部满足招标文件要求得23分，对非实质性要求如有负偏离，每有一项扣1分，扣完为止。</w:t>
            </w:r>
          </w:p>
        </w:tc>
        <w:tc>
          <w:tcPr>
            <w:tcW w:type="dxa" w:w="831"/>
          </w:tcPr>
          <w:p>
            <w:pPr>
              <w:pStyle w:val="null5"/>
              <w:jc w:val="center"/>
            </w:pPr>
            <w:r>
              <w:rPr>
                <w:rFonts w:ascii="仿宋_GB2312" w:hAnsi="仿宋_GB2312" w:cs="仿宋_GB2312" w:eastAsia="仿宋_GB2312"/>
              </w:rPr>
              <w:t>23.0000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供货组织方案，包括货物的采买、包装、运输、到货验收等内容进行综合评审：供货组织方案完全满足项目需求，完整具体、切实可行、有针对性得满分12分；如供货方案存在内容不合理、实施难度大、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供货组织方案</w:t>
            </w:r>
          </w:p>
        </w:tc>
      </w:tr>
      <w:tr>
        <w:tc>
          <w:tcPr>
            <w:tcW w:type="dxa" w:w="831"/>
            <w:vMerge/>
          </w:tcPr>
          <w:p/>
        </w:tc>
        <w:tc>
          <w:tcPr>
            <w:tcW w:type="dxa" w:w="1661"/>
          </w:tcPr>
          <w:p>
            <w:pPr>
              <w:pStyle w:val="null5"/>
              <w:jc w:val="left"/>
            </w:pPr>
            <w:r>
              <w:rPr>
                <w:rFonts w:ascii="仿宋_GB2312" w:hAnsi="仿宋_GB2312" w:cs="仿宋_GB2312" w:eastAsia="仿宋_GB2312"/>
              </w:rPr>
              <w:t>应急方案</w:t>
            </w:r>
          </w:p>
        </w:tc>
        <w:tc>
          <w:tcPr>
            <w:tcW w:type="dxa" w:w="2575"/>
          </w:tcPr>
          <w:p>
            <w:pPr>
              <w:pStyle w:val="null5"/>
              <w:jc w:val="left"/>
            </w:pPr>
            <w:r>
              <w:rPr>
                <w:rFonts w:ascii="仿宋_GB2312" w:hAnsi="仿宋_GB2312" w:cs="仿宋_GB2312" w:eastAsia="仿宋_GB2312"/>
              </w:rPr>
              <w:t>根据投标人提供的应急保障措施进行综合评审，包括应急预案、物资保障两项内容逻辑清晰、切实可行且满足本项目需求每项可得4分，共8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应急方案</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根据投标人供货质量、进度、安全保障措施进行综合评审： 以上三项保障措施完全满足项目需求，措施具体可行、有针对性每项得3分，共9分；如方案内容不切实际、没有针对性等情形，每存在一项扣0.5分，对于偏差内容较大之处，每存在一项扣1分。扣完为止。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供货保障措施</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 分析</w:t>
            </w:r>
          </w:p>
        </w:tc>
        <w:tc>
          <w:tcPr>
            <w:tcW w:type="dxa" w:w="2575"/>
          </w:tcPr>
          <w:p>
            <w:pPr>
              <w:pStyle w:val="null5"/>
              <w:jc w:val="left"/>
            </w:pPr>
            <w:r>
              <w:rPr>
                <w:rFonts w:ascii="仿宋_GB2312" w:hAnsi="仿宋_GB2312" w:cs="仿宋_GB2312" w:eastAsia="仿宋_GB2312"/>
              </w:rPr>
              <w:t>投标人应根据项目特点，综合分析该项目的重点和难点。表述详细、合理且完全满足本项目需求得满分3分，每存在一处不足或不完善扣0.5分，扣完为止，缺项不得分。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项目理解与重难点分析</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6月1日以来（以合同签订日为准）投标人完成同类项目业绩，并提供采购人对合同执行情况考核评价表加盖采购人公章或采购人使用部门行政章，每提供1个业绩合同得1分，最高得3分。（注：投标人需在投标文件中提供完整合同、采购人评价表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据投标人①服务机构和人员设置、②服务方案、③响应时间及响应程度、④解决问题的能力和特殊事故处理预案等进行综合评审，以上四项每项完全满足招标文件要求，得3分，共12分。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p>
            <w:pPr>
              <w:pStyle w:val="null5"/>
              <w:jc w:val="left"/>
            </w:pPr>
            <w:r>
              <w:rPr>
                <w:rFonts w:ascii="仿宋_GB2312" w:hAnsi="仿宋_GB2312" w:cs="仿宋_GB2312" w:eastAsia="仿宋_GB2312"/>
              </w:rPr>
              <w:t>项目拟投入人员情况一览表</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（1）特级胎牛血清等响应报价低于全部通过符合性审查供应商响应报价平均值50%的，即特级胎牛血清等响应报价&lt;全部通过符合性审查供应商响应报价平均值×50%。 （2）特级胎牛血清等响应报价低于通过符合性审查且报价次低供应商响应报价50%的，即特级胎牛血清等响应报价&lt;通过符合性审查且报价次低供应商响应报价×50%。 （3）特级胎牛血清等响应报价低于最高限价45%的，即特级胎牛血清等响应报价&lt;最高限价×45%。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特级胎牛血清等</w:t>
            </w:r>
          </w:p>
        </w:tc>
        <w:tc>
          <w:tcPr>
            <w:tcW w:type="dxa" w:w="2575"/>
          </w:tcPr>
          <w:p>
            <w:pPr>
              <w:pStyle w:val="null5"/>
              <w:jc w:val="left"/>
            </w:pPr>
            <w:r>
              <w:rPr>
                <w:rFonts w:ascii="仿宋_GB2312" w:hAnsi="仿宋_GB2312" w:cs="仿宋_GB2312" w:eastAsia="仿宋_GB2312"/>
              </w:rPr>
              <w:t>以满足招标文件要求且价格最低的投标报价为评标基准价，其价格分为满分。其他投标人的价格分统一按照下列公式计算：报价得分=(评标基准价/投标报价)×30%×100（得分保留两位小数） 投标报价超出最高限价的，为无效投标。 若通过符合性审查的投标人的投标报价符合财库〔2026〕2 号《财政部关于推动解决政府采购异常低价问题的通知》中的异常低价情形，评标委员会应当启动异常低价投标（响应）审查程序，相关投标人在评标委员会要求的时间内对投标（响应）价格作出解释，提供项目具体成本测算等与报价合理性相关的书面说明及必要的证明材料，包括但不限于原材料成本、人工成本、制造费用等。相关投标人不能提供书面说明、证明材料，或者提供的书面说明、证明材料不能证明其报价合理性的，评标委员会应当将其作为无效投标（响应）处理。</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技术部分51.00分</w:t>
            </w:r>
          </w:p>
          <w:p>
            <w:pPr>
              <w:pStyle w:val="null5"/>
              <w:jc w:val="left"/>
            </w:pPr>
            <w:r>
              <w:rPr>
                <w:rFonts w:ascii="仿宋_GB2312" w:hAnsi="仿宋_GB2312" w:cs="仿宋_GB2312" w:eastAsia="仿宋_GB2312"/>
              </w:rPr>
              <w:t>商务部分19.00分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根据投标文件技术条款进行综合评审，技术参数全部满足招标文件要求得16分，对非实质性要求如有负偏离，每有一项扣2分，扣完为止。</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项目理解与重难点分析</w:t>
            </w:r>
          </w:p>
        </w:tc>
        <w:tc>
          <w:tcPr>
            <w:tcW w:type="dxa" w:w="2575"/>
          </w:tcPr>
          <w:p>
            <w:pPr>
              <w:pStyle w:val="null5"/>
              <w:jc w:val="left"/>
            </w:pPr>
            <w:r>
              <w:rPr>
                <w:rFonts w:ascii="仿宋_GB2312" w:hAnsi="仿宋_GB2312" w:cs="仿宋_GB2312" w:eastAsia="仿宋_GB2312"/>
              </w:rPr>
              <w:t>投标人应根据项目特点，综合分析该项目的重点和难点。方案全面、有针对性，能够充分体现实验动物特殊性的得6分，每存在一项不完善或不足扣0.5分，扣完为止。</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项目理解与重难点分析</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提供的供货组织方案进行综合评审，包括货物的包装、运输及到货验收，以上三项每项内容逻辑清晰、切实可行且满足本项目需求可得3分，满分12分，每项内容每存在一处不足或不完善扣0.5分，扣完为止，不提供的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供货组织方案</w:t>
            </w:r>
          </w:p>
        </w:tc>
      </w:tr>
      <w:tr>
        <w:tc>
          <w:tcPr>
            <w:tcW w:type="dxa" w:w="831"/>
            <w:vMerge/>
          </w:tcPr>
          <w:p/>
        </w:tc>
        <w:tc>
          <w:tcPr>
            <w:tcW w:type="dxa" w:w="1661"/>
          </w:tcPr>
          <w:p>
            <w:pPr>
              <w:pStyle w:val="null5"/>
              <w:jc w:val="left"/>
            </w:pPr>
            <w:r>
              <w:rPr>
                <w:rFonts w:ascii="仿宋_GB2312" w:hAnsi="仿宋_GB2312" w:cs="仿宋_GB2312" w:eastAsia="仿宋_GB2312"/>
              </w:rPr>
              <w:t>换货及应急方案</w:t>
            </w:r>
          </w:p>
        </w:tc>
        <w:tc>
          <w:tcPr>
            <w:tcW w:type="dxa" w:w="2575"/>
          </w:tcPr>
          <w:p>
            <w:pPr>
              <w:pStyle w:val="null5"/>
              <w:jc w:val="left"/>
            </w:pPr>
            <w:r>
              <w:rPr>
                <w:rFonts w:ascii="仿宋_GB2312" w:hAnsi="仿宋_GB2312" w:cs="仿宋_GB2312" w:eastAsia="仿宋_GB2312"/>
              </w:rPr>
              <w:t>根据投标人提供的活体小动物更换方案，紧急、突发情况的应对、供应措施等进行综合评审，以上两项每项内容逻辑清晰、切实可行且满足本项目需求可得4分，共8分，每项内容每存在一处不足或不完善扣0.5分，扣完为止，不提供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应急方案</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根据投标人供货质量、进度、安全等保障措施进行综合评审： 以上三项保障措施完全满足项目需求，措施具体可行、有针对性每项得3分，共9分；如方案内容不切实际、没有针对性等情形，每存在一项扣0.5分，对于偏差内容较大之处，每存在一项扣1分。扣完为止。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供货保障措施</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6月1日以来（以合同签订日为准）投标人完成同类项目业绩，并提供采购人对合同执行情况考核评价表加盖采购人公章或采购人使用部门行政章，每提供1个业绩合同得1分，最高得3分。（注：投标人需在投标文件中提供完整合同、采购人评价表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vMerge/>
          </w:tcP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根据投标人①服务机构和人员设置，②服务方案，③响应时间及响应程度，④解决问题的能力和特殊事故处理预案进行综合评审，以上四项每项完全满足招标文件要求，得4分，共16分。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p>
            <w:pPr>
              <w:pStyle w:val="null5"/>
              <w:jc w:val="left"/>
            </w:pPr>
            <w:r>
              <w:rPr>
                <w:rFonts w:ascii="仿宋_GB2312" w:hAnsi="仿宋_GB2312" w:cs="仿宋_GB2312" w:eastAsia="仿宋_GB2312"/>
              </w:rPr>
              <w:t>项目拟投入人员情况一览表</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（1）基因编辑技术基因敲入鼠等响应报价低于全部通过符合性审查供应商响应报价平均值50%的，即基因编辑技术基因敲入鼠等响应报价&lt;全部通过符合性审查供应商响应报价平均值×50%。 （2）基因编辑技术基因敲入鼠等响应报价低于通过符合性审查且报价次低供应商响应报价50%的，即基因编辑技术基因敲入鼠等响应报价&lt;通过符合性审查且报价次低供应商响应报价×50%。 （3）基因编辑技术基因敲入鼠等响应报价低于最高限价45%的，即基因编辑技术基因敲入鼠等响应报价&lt;最高限价×45%。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以满足招标文件要求且价格最低的投标报价为评标基准价，其价格分为满分。其他投标人的价格分统一按照下列公式计算：报价得分=(评标基准价/投标报价)×30%×100（得分保留两位小数） 投标报价超出最高限价的，为无效投标。 若通过符合性审查的投标人的投标报价符合财库〔2026〕2 号《财政部关于推动解决政府采购异常低价问题的通知》中的异常低价情形，评标委员会应当启动异常低价投标（响应）审查程序，相关投标人在评标委员会要求的时间内对投标（响应）价格作出解释，提供项目具体成本测算等与报价合理性相关的书面说明及必要的证明材料，包括但不限于原材料成本、人工成本、制造费用等。相关投标人不能提供书面说明、证明材料，或者提供的书面说明、证明材料不能证明其报价合理性的，评标委员会应当将其作为无效投标（响应）处理。</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关于本国产品成本占比的承诺函、关于符合本国产品标准的声明函</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（1）特级胎牛血清等响应报价低于全部通过符合性审查供应商响应报价平均值50%的，即特级胎牛血清等响应报价&lt;全部通过符合性审查供应商响应报价平均值×50%。</w:t>
              <w:br/>
              <w:t>（2）特级胎牛血清等响应报价低于通过符合性审查且报价次低供应商响应报价50%的，即特级胎牛血清等响应报价&lt;通过符合性审查且报价次低供应商响应报价×50%。</w:t>
              <w:br/>
              <w:t>（3）特级胎牛血清等响应报价低于最高限价45%的，即特级胎牛血清等响应报价&lt;最高限价×45%。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（1）基因编辑技术基因敲入鼠等响应报价低于全部通过符合性审查供应商响应报价平均值50%的，即基因编辑技术基因敲入鼠等响应报价&lt;全部通过符合性审查供应商响应报价平均值×50%。</w:t>
              <w:br/>
              <w:t>（2）基因编辑技术基因敲入鼠等响应报价低于通过符合性审查且报价次低供应商响应报价50%的，即基因编辑技术基因敲入鼠等响应报价&lt;通过符合性审查且报价次低供应商响应报价×50%。</w:t>
              <w:br/>
              <w:t>（3）基因编辑技术基因敲入鼠等响应报价低于最高限价45%的，即基因编辑技术基因敲入鼠等响应报价&lt;最高限价×45%。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无衬背的诊断或实验用试剂</w:t>
            </w:r>
          </w:p>
        </w:tc>
        <w:tc>
          <w:tcPr>
            <w:tcW w:type="dxa" w:w="3115"/>
          </w:tcPr>
          <w:p>
            <w:pPr>
              <w:pStyle w:val="null5"/>
              <w:jc w:val="left"/>
            </w:pPr>
            <w:r>
              <w:rPr>
                <w:rFonts w:ascii="仿宋_GB2312" w:hAnsi="仿宋_GB2312" w:cs="仿宋_GB2312" w:eastAsia="仿宋_GB2312"/>
              </w:rPr>
              <w:t>特级胎牛血清等</w:t>
            </w:r>
          </w:p>
        </w:tc>
        <w:tc>
          <w:tcPr>
            <w:tcW w:type="dxa" w:w="2076"/>
          </w:tcPr>
          <w:p>
            <w:pPr>
              <w:pStyle w:val="null5"/>
              <w:jc w:val="left"/>
            </w:pPr>
            <w:r>
              <w:rPr>
                <w:rFonts w:ascii="仿宋_GB2312" w:hAnsi="仿宋_GB2312" w:cs="仿宋_GB2312" w:eastAsia="仿宋_GB2312"/>
              </w:rPr>
              <w:t>特级胎牛血清等</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详见附件：应急方案</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详见附件：项目理解与重难点分析</w:t>
      </w:r>
    </w:p>
    <w:p>
      <w:pPr>
        <w:pStyle w:val="null5"/>
        <w:ind w:firstLine="960"/>
        <w:jc w:val="left"/>
      </w:pPr>
      <w:r>
        <w:rPr>
          <w:rFonts w:ascii="仿宋_GB2312" w:hAnsi="仿宋_GB2312" w:cs="仿宋_GB2312" w:eastAsia="仿宋_GB2312"/>
        </w:rPr>
        <w:t>详见附件：供货保障措施</w:t>
      </w:r>
    </w:p>
    <w:p>
      <w:pPr>
        <w:pStyle w:val="null5"/>
        <w:ind w:firstLine="960"/>
        <w:jc w:val="left"/>
      </w:pPr>
      <w:r>
        <w:rPr>
          <w:rFonts w:ascii="仿宋_GB2312" w:hAnsi="仿宋_GB2312" w:cs="仿宋_GB2312" w:eastAsia="仿宋_GB2312"/>
        </w:rPr>
        <w:t>详见附件：供货组织方案</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详见附件：项目理解与重难点分析</w:t>
      </w:r>
    </w:p>
    <w:p>
      <w:pPr>
        <w:pStyle w:val="null5"/>
        <w:ind w:firstLine="960"/>
        <w:jc w:val="left"/>
      </w:pPr>
      <w:r>
        <w:rPr>
          <w:rFonts w:ascii="仿宋_GB2312" w:hAnsi="仿宋_GB2312" w:cs="仿宋_GB2312" w:eastAsia="仿宋_GB2312"/>
        </w:rPr>
        <w:t>详见附件：供货保障措施</w:t>
      </w:r>
    </w:p>
    <w:p>
      <w:pPr>
        <w:pStyle w:val="null5"/>
        <w:ind w:firstLine="960"/>
        <w:jc w:val="left"/>
      </w:pPr>
      <w:r>
        <w:rPr>
          <w:rFonts w:ascii="仿宋_GB2312" w:hAnsi="仿宋_GB2312" w:cs="仿宋_GB2312" w:eastAsia="仿宋_GB2312"/>
        </w:rPr>
        <w:t>详见附件：应急方案</w:t>
      </w:r>
    </w:p>
    <w:p>
      <w:pPr>
        <w:pStyle w:val="null5"/>
        <w:ind w:firstLine="960"/>
        <w:jc w:val="left"/>
      </w:pPr>
      <w:r>
        <w:rPr>
          <w:rFonts w:ascii="仿宋_GB2312" w:hAnsi="仿宋_GB2312" w:cs="仿宋_GB2312" w:eastAsia="仿宋_GB2312"/>
        </w:rPr>
        <w:t>详见附件：供货组织方案</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详见附件：山东省政府采购合同（货物模板）.docx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