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27D4">
      <w:pPr>
        <w:pStyle w:val="5"/>
        <w:keepNext w:val="0"/>
        <w:keepLines w:val="0"/>
        <w:pageBreakBefore w:val="0"/>
        <w:kinsoku/>
        <w:overflowPunct/>
        <w:topLinePunct w:val="0"/>
        <w:bidi w:val="0"/>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 xml:space="preserve"> 政府采购合同</w:t>
      </w:r>
    </w:p>
    <w:p w14:paraId="420BA470">
      <w:pPr>
        <w:keepNext w:val="0"/>
        <w:keepLines w:val="0"/>
        <w:pageBreakBefore w:val="0"/>
        <w:kinsoku/>
        <w:overflowPunct/>
        <w:topLinePunct w:val="0"/>
        <w:bidi w:val="0"/>
        <w:spacing w:before="312" w:beforeLines="1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（仅供参考，具体以实际为准）</w:t>
      </w:r>
    </w:p>
    <w:p w14:paraId="2706DEB9">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p>
    <w:p w14:paraId="5048559D">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p>
    <w:p w14:paraId="428D035D">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r>
        <w:rPr>
          <w:rFonts w:hint="eastAsia" w:ascii="宋体" w:hAnsi="宋体"/>
          <w:color w:val="000000" w:themeColor="text1"/>
          <w:sz w:val="44"/>
          <w:szCs w:val="44"/>
          <w:highlight w:val="none"/>
          <w14:textFill>
            <w14:solidFill>
              <w14:schemeClr w14:val="tx1"/>
            </w14:solidFill>
          </w14:textFill>
        </w:rPr>
        <w:t>山东省政府采购合同</w:t>
      </w:r>
    </w:p>
    <w:p w14:paraId="72773151">
      <w:pPr>
        <w:keepNext w:val="0"/>
        <w:keepLines w:val="0"/>
        <w:pageBreakBefore w:val="0"/>
        <w:kinsoku/>
        <w:overflowPunct/>
        <w:topLinePunct w:val="0"/>
        <w:bidi w:val="0"/>
        <w:snapToGrid w:val="0"/>
        <w:spacing w:line="360" w:lineRule="auto"/>
        <w:jc w:val="center"/>
        <w:rPr>
          <w:rFonts w:asci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lang w:val="en-US" w:eastAsia="zh-CN"/>
          <w14:textFill>
            <w14:solidFill>
              <w14:schemeClr w14:val="tx1"/>
            </w14:solidFill>
          </w14:textFill>
        </w:rPr>
        <w:t>服务</w:t>
      </w:r>
      <w:r>
        <w:rPr>
          <w:rFonts w:hint="eastAsia" w:ascii="宋体" w:hAnsi="宋体"/>
          <w:color w:val="000000" w:themeColor="text1"/>
          <w:sz w:val="28"/>
          <w:szCs w:val="28"/>
          <w:highlight w:val="none"/>
          <w14:textFill>
            <w14:solidFill>
              <w14:schemeClr w14:val="tx1"/>
            </w14:solidFill>
          </w14:textFill>
        </w:rPr>
        <w:t>类）</w:t>
      </w:r>
    </w:p>
    <w:p w14:paraId="1D03079A">
      <w:pPr>
        <w:keepNext w:val="0"/>
        <w:keepLines w:val="0"/>
        <w:pageBreakBefore w:val="0"/>
        <w:kinsoku/>
        <w:overflowPunct/>
        <w:topLinePunct w:val="0"/>
        <w:bidi w:val="0"/>
        <w:snapToGrid w:val="0"/>
        <w:spacing w:line="360" w:lineRule="auto"/>
        <w:jc w:val="center"/>
        <w:rPr>
          <w:rFonts w:ascii="宋体"/>
          <w:color w:val="000000" w:themeColor="text1"/>
          <w:sz w:val="28"/>
          <w:szCs w:val="28"/>
          <w:highlight w:val="none"/>
          <w14:textFill>
            <w14:solidFill>
              <w14:schemeClr w14:val="tx1"/>
            </w14:solidFill>
          </w14:textFill>
        </w:rPr>
      </w:pPr>
    </w:p>
    <w:p w14:paraId="2816A033">
      <w:pPr>
        <w:keepNext w:val="0"/>
        <w:keepLines w:val="0"/>
        <w:pageBreakBefore w:val="0"/>
        <w:kinsoku/>
        <w:overflowPunct/>
        <w:topLinePunct w:val="0"/>
        <w:bidi w:val="0"/>
        <w:rPr>
          <w:color w:val="000000" w:themeColor="text1"/>
          <w:highlight w:val="none"/>
          <w14:textFill>
            <w14:solidFill>
              <w14:schemeClr w14:val="tx1"/>
            </w14:solidFill>
          </w14:textFill>
        </w:rPr>
      </w:pPr>
    </w:p>
    <w:p w14:paraId="6F564FEA">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color w:val="000000" w:themeColor="text1"/>
          <w:sz w:val="32"/>
          <w:szCs w:val="32"/>
          <w:highlight w:val="none"/>
          <w:u w:val="single"/>
          <w:lang w:eastAsia="zh-CN"/>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项目名称：</w:t>
      </w:r>
      <w:r>
        <w:rPr>
          <w:rFonts w:hint="eastAsia" w:ascii="宋体" w:hAnsi="宋体" w:cs="宋体"/>
          <w:bCs/>
          <w:color w:val="000000" w:themeColor="text1"/>
          <w:sz w:val="32"/>
          <w:szCs w:val="32"/>
          <w:highlight w:val="none"/>
          <w:u w:val="single"/>
          <w:lang w:eastAsia="zh-CN"/>
          <w14:textFill>
            <w14:solidFill>
              <w14:schemeClr w14:val="tx1"/>
            </w14:solidFill>
          </w14:textFill>
        </w:rPr>
        <w:t>山东第一医科大学（山东省医学科学院）毕业论文（设计）管理系统服务购置</w:t>
      </w:r>
    </w:p>
    <w:p w14:paraId="3F3D3C47">
      <w:pPr>
        <w:keepNext w:val="0"/>
        <w:keepLines w:val="0"/>
        <w:pageBreakBefore w:val="0"/>
        <w:kinsoku/>
        <w:overflowPunct/>
        <w:topLinePunct w:val="0"/>
        <w:bidi w:val="0"/>
        <w:snapToGrid w:val="0"/>
        <w:spacing w:line="360" w:lineRule="auto"/>
        <w:ind w:firstLine="1600" w:firstLineChars="500"/>
        <w:rPr>
          <w:rFonts w:ascii="宋体" w:hAnsi="宋体" w:cs="宋体"/>
          <w:bCs/>
          <w:color w:val="000000" w:themeColor="text1"/>
          <w:sz w:val="32"/>
          <w:szCs w:val="32"/>
          <w:highlight w:val="none"/>
          <w:u w:val="singl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合同编号：</w:t>
      </w:r>
      <w:r>
        <w:rPr>
          <w:rFonts w:ascii="宋体" w:hAnsi="宋体" w:cs="宋体"/>
          <w:bCs/>
          <w:color w:val="000000" w:themeColor="text1"/>
          <w:sz w:val="30"/>
          <w:szCs w:val="30"/>
          <w:highlight w:val="none"/>
          <w:u w:val="single"/>
          <w14:textFill>
            <w14:solidFill>
              <w14:schemeClr w14:val="tx1"/>
            </w14:solidFill>
          </w14:textFill>
        </w:rPr>
        <w:t xml:space="preserve">                        </w:t>
      </w:r>
    </w:p>
    <w:p w14:paraId="60C3FD50">
      <w:pPr>
        <w:keepNext w:val="0"/>
        <w:keepLines w:val="0"/>
        <w:pageBreakBefore w:val="0"/>
        <w:kinsoku/>
        <w:overflowPunct/>
        <w:topLinePunct w:val="0"/>
        <w:bidi w:val="0"/>
        <w:snapToGrid w:val="0"/>
        <w:spacing w:line="360" w:lineRule="auto"/>
        <w:ind w:firstLine="1600" w:firstLineChars="500"/>
        <w:rPr>
          <w:rFonts w:hint="eastAsia" w:ascii="宋体" w:hAnsi="宋体" w:cs="宋体"/>
          <w:bCs/>
          <w:color w:val="000000" w:themeColor="text1"/>
          <w:sz w:val="32"/>
          <w:szCs w:val="32"/>
          <w:highlight w:val="none"/>
          <w:u w:val="singl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计划编号：</w:t>
      </w:r>
      <w:r>
        <w:rPr>
          <w:rFonts w:ascii="宋体" w:hAnsi="宋体" w:cs="宋体"/>
          <w:bCs/>
          <w:color w:val="000000" w:themeColor="text1"/>
          <w:sz w:val="30"/>
          <w:szCs w:val="30"/>
          <w:highlight w:val="none"/>
          <w:u w:val="single"/>
          <w14:textFill>
            <w14:solidFill>
              <w14:schemeClr w14:val="tx1"/>
            </w14:solidFill>
          </w14:textFill>
        </w:rPr>
        <w:t xml:space="preserve">                        </w:t>
      </w:r>
    </w:p>
    <w:p w14:paraId="0BB0CC3E">
      <w:pPr>
        <w:keepNext w:val="0"/>
        <w:keepLines w:val="0"/>
        <w:pageBreakBefore w:val="0"/>
        <w:kinsoku/>
        <w:overflowPunct/>
        <w:topLinePunct w:val="0"/>
        <w:bidi w:val="0"/>
        <w:spacing w:line="360" w:lineRule="auto"/>
        <w:rPr>
          <w:rFonts w:ascii="宋体"/>
          <w:b/>
          <w:color w:val="000000" w:themeColor="text1"/>
          <w:sz w:val="24"/>
          <w:highlight w:val="none"/>
          <w14:textFill>
            <w14:solidFill>
              <w14:schemeClr w14:val="tx1"/>
            </w14:solidFill>
          </w14:textFill>
        </w:rPr>
      </w:pPr>
    </w:p>
    <w:p w14:paraId="663FDFB1">
      <w:pPr>
        <w:keepNext w:val="0"/>
        <w:keepLines w:val="0"/>
        <w:pageBreakBefore w:val="0"/>
        <w:kinsoku/>
        <w:overflowPunct/>
        <w:topLinePunct w:val="0"/>
        <w:bidi w:val="0"/>
        <w:spacing w:line="360" w:lineRule="auto"/>
        <w:jc w:val="center"/>
        <w:rPr>
          <w:rFonts w:ascii="宋体"/>
          <w:b/>
          <w:color w:val="000000" w:themeColor="text1"/>
          <w:sz w:val="24"/>
          <w:highlight w:val="none"/>
          <w14:textFill>
            <w14:solidFill>
              <w14:schemeClr w14:val="tx1"/>
            </w14:solidFill>
          </w14:textFill>
        </w:rPr>
      </w:pPr>
    </w:p>
    <w:p w14:paraId="31D303A6">
      <w:pPr>
        <w:keepNext w:val="0"/>
        <w:keepLines w:val="0"/>
        <w:pageBreakBefore w:val="0"/>
        <w:kinsoku/>
        <w:overflowPunct/>
        <w:topLinePunct w:val="0"/>
        <w:bidi w:val="0"/>
        <w:spacing w:line="360" w:lineRule="auto"/>
        <w:jc w:val="center"/>
        <w:rPr>
          <w:rFonts w:ascii="宋体"/>
          <w:b/>
          <w:color w:val="000000" w:themeColor="text1"/>
          <w:sz w:val="24"/>
          <w:highlight w:val="none"/>
          <w14:textFill>
            <w14:solidFill>
              <w14:schemeClr w14:val="tx1"/>
            </w14:solidFill>
          </w14:textFill>
        </w:rPr>
      </w:pPr>
    </w:p>
    <w:p w14:paraId="0217249C">
      <w:pPr>
        <w:keepNext w:val="0"/>
        <w:keepLines w:val="0"/>
        <w:pageBreakBefore w:val="0"/>
        <w:kinsoku/>
        <w:overflowPunct/>
        <w:topLinePunct w:val="0"/>
        <w:bidi w:val="0"/>
        <w:spacing w:line="480" w:lineRule="auto"/>
        <w:ind w:firstLine="1687" w:firstLineChars="600"/>
        <w:rPr>
          <w:rFonts w:ascii="宋体" w:hAns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甲    方：</w:t>
      </w:r>
      <w:r>
        <w:rPr>
          <w:rFonts w:hint="eastAsia" w:ascii="宋体" w:hAnsi="宋体"/>
          <w:b/>
          <w:color w:val="000000" w:themeColor="text1"/>
          <w:sz w:val="28"/>
          <w:highlight w:val="none"/>
          <w:u w:val="single"/>
          <w14:textFill>
            <w14:solidFill>
              <w14:schemeClr w14:val="tx1"/>
            </w14:solidFill>
          </w14:textFill>
        </w:rPr>
        <w:t>山东第一医科大学</w:t>
      </w:r>
    </w:p>
    <w:p w14:paraId="691D07B0">
      <w:pPr>
        <w:keepNext w:val="0"/>
        <w:keepLines w:val="0"/>
        <w:pageBreakBefore w:val="0"/>
        <w:kinsoku/>
        <w:overflowPunct/>
        <w:topLinePunct w:val="0"/>
        <w:bidi w:val="0"/>
        <w:spacing w:line="480" w:lineRule="auto"/>
        <w:ind w:firstLine="1687" w:firstLineChars="600"/>
        <w:rPr>
          <w:rFonts w:asci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乙    方：</w:t>
      </w:r>
      <w:r>
        <w:rPr>
          <w:rFonts w:hint="eastAsia" w:ascii="宋体" w:hAnsi="宋体"/>
          <w:b/>
          <w:color w:val="000000" w:themeColor="text1"/>
          <w:sz w:val="28"/>
          <w:highlight w:val="none"/>
          <w:u w:val="single"/>
          <w14:textFill>
            <w14:solidFill>
              <w14:schemeClr w14:val="tx1"/>
            </w14:solidFill>
          </w14:textFill>
        </w:rPr>
        <w:t xml:space="preserve"> </w:t>
      </w:r>
      <w:r>
        <w:rPr>
          <w:rFonts w:ascii="宋体" w:hAnsi="宋体"/>
          <w:b/>
          <w:color w:val="000000" w:themeColor="text1"/>
          <w:sz w:val="28"/>
          <w:highlight w:val="none"/>
          <w:u w:val="single"/>
          <w14:textFill>
            <w14:solidFill>
              <w14:schemeClr w14:val="tx1"/>
            </w14:solidFill>
          </w14:textFill>
        </w:rPr>
        <w:t xml:space="preserve">                         </w:t>
      </w:r>
    </w:p>
    <w:p w14:paraId="2DC59E0E">
      <w:pPr>
        <w:keepNext w:val="0"/>
        <w:keepLines w:val="0"/>
        <w:pageBreakBefore w:val="0"/>
        <w:kinsoku/>
        <w:overflowPunct/>
        <w:topLinePunct w:val="0"/>
        <w:bidi w:val="0"/>
        <w:spacing w:line="480" w:lineRule="auto"/>
        <w:ind w:firstLine="1687" w:firstLineChars="600"/>
        <w:rPr>
          <w:rFonts w:asci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代理机构：</w:t>
      </w:r>
      <w:r>
        <w:rPr>
          <w:rFonts w:hint="eastAsia" w:ascii="宋体" w:hAnsi="宋体"/>
          <w:b/>
          <w:color w:val="000000" w:themeColor="text1"/>
          <w:sz w:val="28"/>
          <w:highlight w:val="none"/>
          <w:u w:val="single"/>
          <w14:textFill>
            <w14:solidFill>
              <w14:schemeClr w14:val="tx1"/>
            </w14:solidFill>
          </w14:textFill>
        </w:rPr>
        <w:t>山东天惠兴招标咨询有限公司</w:t>
      </w:r>
    </w:p>
    <w:p w14:paraId="6EBB7896">
      <w:pPr>
        <w:keepNext w:val="0"/>
        <w:keepLines w:val="0"/>
        <w:pageBreakBefore w:val="0"/>
        <w:kinsoku/>
        <w:overflowPunct/>
        <w:topLinePunct w:val="0"/>
        <w:bidi w:val="0"/>
        <w:snapToGrid w:val="0"/>
        <w:spacing w:line="360" w:lineRule="auto"/>
        <w:jc w:val="center"/>
        <w:rPr>
          <w:rFonts w:ascii="宋体"/>
          <w:color w:val="000000" w:themeColor="text1"/>
          <w:sz w:val="30"/>
          <w:szCs w:val="30"/>
          <w:highlight w:val="none"/>
          <w14:textFill>
            <w14:solidFill>
              <w14:schemeClr w14:val="tx1"/>
            </w14:solidFill>
          </w14:textFill>
        </w:rPr>
      </w:pPr>
    </w:p>
    <w:p w14:paraId="493E0926">
      <w:pPr>
        <w:pStyle w:val="3"/>
        <w:keepNext w:val="0"/>
        <w:keepLines w:val="0"/>
        <w:pageBreakBefore w:val="0"/>
        <w:kinsoku/>
        <w:overflowPunct/>
        <w:topLinePunct w:val="0"/>
        <w:bidi w:val="0"/>
        <w:rPr>
          <w:color w:val="000000" w:themeColor="text1"/>
          <w:highlight w:val="none"/>
          <w14:textFill>
            <w14:solidFill>
              <w14:schemeClr w14:val="tx1"/>
            </w14:solidFill>
          </w14:textFill>
        </w:rPr>
      </w:pPr>
    </w:p>
    <w:p w14:paraId="10A608AD">
      <w:pPr>
        <w:keepNext w:val="0"/>
        <w:keepLines w:val="0"/>
        <w:pageBreakBefore w:val="0"/>
        <w:kinsoku/>
        <w:overflowPunct/>
        <w:topLinePunct w:val="0"/>
        <w:bidi w:val="0"/>
        <w:adjustRightInd w:val="0"/>
        <w:snapToGrid w:val="0"/>
        <w:spacing w:line="360" w:lineRule="auto"/>
        <w:jc w:val="center"/>
        <w:rPr>
          <w:rFonts w:hint="eastAsia"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签订时间：二〇二</w:t>
      </w:r>
      <w:r>
        <w:rPr>
          <w:rFonts w:hint="eastAsia" w:ascii="宋体" w:hAnsi="宋体"/>
          <w:color w:val="000000" w:themeColor="text1"/>
          <w:sz w:val="30"/>
          <w:szCs w:val="30"/>
          <w:highlight w:val="none"/>
          <w:lang w:val="en-US" w:eastAsia="zh-CN"/>
          <w14:textFill>
            <w14:solidFill>
              <w14:schemeClr w14:val="tx1"/>
            </w14:solidFill>
          </w14:textFill>
        </w:rPr>
        <w:t>六</w:t>
      </w:r>
      <w:r>
        <w:rPr>
          <w:rFonts w:hint="eastAsia" w:ascii="宋体" w:hAnsi="宋体"/>
          <w:color w:val="000000" w:themeColor="text1"/>
          <w:sz w:val="30"/>
          <w:szCs w:val="30"/>
          <w:highlight w:val="none"/>
          <w14:textFill>
            <w14:solidFill>
              <w14:schemeClr w14:val="tx1"/>
            </w14:solidFill>
          </w14:textFill>
        </w:rPr>
        <w:t>年</w:t>
      </w:r>
      <w:r>
        <w:rPr>
          <w:rFonts w:hint="eastAsia" w:ascii="宋体" w:hAnsi="宋体"/>
          <w:color w:val="000000" w:themeColor="text1"/>
          <w:sz w:val="30"/>
          <w:szCs w:val="30"/>
          <w:highlight w:val="none"/>
          <w:u w:val="single"/>
          <w14:textFill>
            <w14:solidFill>
              <w14:schemeClr w14:val="tx1"/>
            </w14:solidFill>
          </w14:textFill>
        </w:rPr>
        <w:t xml:space="preserve">   </w:t>
      </w:r>
      <w:r>
        <w:rPr>
          <w:rFonts w:hint="eastAsia" w:ascii="宋体" w:hAnsi="宋体"/>
          <w:color w:val="000000" w:themeColor="text1"/>
          <w:sz w:val="30"/>
          <w:szCs w:val="30"/>
          <w:highlight w:val="none"/>
          <w14:textFill>
            <w14:solidFill>
              <w14:schemeClr w14:val="tx1"/>
            </w14:solidFill>
          </w14:textFill>
        </w:rPr>
        <w:t>月</w:t>
      </w:r>
    </w:p>
    <w:p w14:paraId="48A08E98">
      <w:pPr>
        <w:keepNext w:val="0"/>
        <w:keepLines w:val="0"/>
        <w:pageBreakBefore w:val="0"/>
        <w:kinsoku/>
        <w:overflowPunct/>
        <w:topLinePunct w:val="0"/>
        <w:bidi w:val="0"/>
        <w:adjustRightInd w:val="0"/>
        <w:snapToGrid w:val="0"/>
        <w:spacing w:line="360" w:lineRule="auto"/>
        <w:ind w:firstLine="480" w:firstLineChars="200"/>
        <w:jc w:val="left"/>
        <w:rPr>
          <w:rFonts w:asci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甲方（招标人）：</w:t>
      </w:r>
      <w:r>
        <w:rPr>
          <w:rFonts w:hint="eastAsia" w:ascii="宋体" w:hAnsi="宋体" w:cs="宋体"/>
          <w:color w:val="000000" w:themeColor="text1"/>
          <w:sz w:val="24"/>
          <w:highlight w:val="none"/>
          <w:u w:val="single"/>
          <w14:textFill>
            <w14:solidFill>
              <w14:schemeClr w14:val="tx1"/>
            </w14:solidFill>
          </w14:textFill>
        </w:rPr>
        <w:t>山东第一医科大学</w:t>
      </w:r>
    </w:p>
    <w:p w14:paraId="02B419B2">
      <w:pPr>
        <w:keepNext w:val="0"/>
        <w:keepLines w:val="0"/>
        <w:pageBreakBefore w:val="0"/>
        <w:kinsoku/>
        <w:overflowPunct/>
        <w:topLinePunct w:val="0"/>
        <w:bidi w:val="0"/>
        <w:adjustRightInd w:val="0"/>
        <w:snapToGrid w:val="0"/>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乙方（中标人）：</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p>
    <w:p w14:paraId="23D52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根据《中华人民共和国民法典》《中华人民共和国产品质量法》及其他有关法律法规，双方经过友好协商，本着诚实守信、互惠互利的原则，就</w:t>
      </w:r>
      <w:r>
        <w:rPr>
          <w:rFonts w:hint="eastAsia" w:ascii="宋体" w:hAnsi="宋体" w:cs="宋体"/>
          <w:color w:val="000000" w:themeColor="text1"/>
          <w:sz w:val="24"/>
          <w:highlight w:val="none"/>
          <w:u w:val="single"/>
          <w:lang w:eastAsia="zh-CN"/>
          <w14:textFill>
            <w14:solidFill>
              <w14:schemeClr w14:val="tx1"/>
            </w14:solidFill>
          </w14:textFill>
        </w:rPr>
        <w:t>山东第一医科大学（山东省医学科学院）毕业论文（设计）管理系统服务购置</w:t>
      </w:r>
      <w:r>
        <w:rPr>
          <w:rFonts w:hint="eastAsia" w:ascii="宋体" w:hAnsi="宋体" w:cs="宋体"/>
          <w:color w:val="000000" w:themeColor="text1"/>
          <w:sz w:val="24"/>
          <w:highlight w:val="none"/>
          <w:u w:val="single"/>
          <w14:textFill>
            <w14:solidFill>
              <w14:schemeClr w14:val="tx1"/>
            </w14:solidFill>
          </w14:textFill>
        </w:rPr>
        <w:t>（项目编号</w:t>
      </w:r>
      <w:r>
        <w:rPr>
          <w:rFonts w:hint="eastAsia" w:ascii="宋体" w:hAnsi="宋体" w:cs="宋体"/>
          <w:color w:val="000000" w:themeColor="text1"/>
          <w:sz w:val="24"/>
          <w:highlight w:val="none"/>
          <w:u w:val="single"/>
          <w:lang w:eastAsia="zh-CN"/>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采购与供应事宜签订本合同条款，</w:t>
      </w:r>
      <w:r>
        <w:rPr>
          <w:rFonts w:hint="eastAsia" w:ascii="宋体" w:hAnsi="宋体" w:cs="仿宋_GB2312"/>
          <w:color w:val="000000" w:themeColor="text1"/>
          <w:kern w:val="0"/>
          <w:sz w:val="24"/>
          <w:highlight w:val="none"/>
          <w14:textFill>
            <w14:solidFill>
              <w14:schemeClr w14:val="tx1"/>
            </w14:solidFill>
          </w14:textFill>
        </w:rPr>
        <w:t>共同达成如下协议：</w:t>
      </w:r>
    </w:p>
    <w:p w14:paraId="37BE455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一、项目概况</w:t>
      </w:r>
    </w:p>
    <w:p w14:paraId="76142C4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eastAsia="宋体" w:cs="仿宋_GB2312"/>
          <w:color w:val="000000" w:themeColor="text1"/>
          <w:kern w:val="0"/>
          <w:sz w:val="24"/>
          <w:highlight w:val="none"/>
          <w:lang w:eastAsia="zh-CN"/>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项目名称：</w:t>
      </w:r>
      <w:r>
        <w:rPr>
          <w:rFonts w:hint="eastAsia" w:ascii="宋体" w:hAnsi="宋体" w:cs="宋体"/>
          <w:color w:val="000000" w:themeColor="text1"/>
          <w:sz w:val="24"/>
          <w:highlight w:val="none"/>
          <w:u w:val="single"/>
          <w:lang w:eastAsia="zh-CN"/>
          <w14:textFill>
            <w14:solidFill>
              <w14:schemeClr w14:val="tx1"/>
            </w14:solidFill>
          </w14:textFill>
        </w:rPr>
        <w:t>山东第一医科大学（山东省医学科学院）毕业论文（设计）管理系统服务购置</w:t>
      </w:r>
    </w:p>
    <w:p w14:paraId="24AACEE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cs="仿宋_GB2312"/>
          <w:color w:val="000000" w:themeColor="text1"/>
          <w:kern w:val="0"/>
          <w:sz w:val="24"/>
          <w:highlight w:val="none"/>
          <w:u w:val="singl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2.</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地点：</w:t>
      </w:r>
      <w:r>
        <w:rPr>
          <w:rFonts w:hint="eastAsia" w:ascii="宋体" w:hAnsi="宋体" w:cs="仿宋_GB2312"/>
          <w:color w:val="000000" w:themeColor="text1"/>
          <w:kern w:val="0"/>
          <w:sz w:val="24"/>
          <w:highlight w:val="none"/>
          <w:u w:val="single"/>
          <w:lang w:val="en-US" w:eastAsia="zh-CN"/>
          <w14:textFill>
            <w14:solidFill>
              <w14:schemeClr w14:val="tx1"/>
            </w14:solidFill>
          </w14:textFill>
        </w:rPr>
        <w:t>甲方指定地点</w:t>
      </w:r>
    </w:p>
    <w:p w14:paraId="0D6747C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u w:val="singl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3</w:t>
      </w:r>
      <w:r>
        <w:rPr>
          <w:rFonts w:asci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内容和范围：</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376181B1">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000000" w:themeColor="text1"/>
          <w:kern w:val="0"/>
          <w:sz w:val="24"/>
          <w:highlight w:val="none"/>
          <w:lang w:val="en-US" w:eastAsia="zh-CN"/>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二、</w:t>
      </w:r>
      <w:r>
        <w:rPr>
          <w:rFonts w:hint="eastAsia" w:ascii="宋体" w:hAnsi="宋体" w:cs="仿宋_GB2312"/>
          <w:color w:val="000000" w:themeColor="text1"/>
          <w:kern w:val="0"/>
          <w:sz w:val="24"/>
          <w:highlight w:val="none"/>
          <w:lang w:val="en-US" w:eastAsia="zh-CN"/>
          <w14:textFill>
            <w14:solidFill>
              <w14:schemeClr w14:val="tx1"/>
            </w14:solidFill>
          </w14:textFill>
        </w:rPr>
        <w:t>服务期限</w:t>
      </w:r>
    </w:p>
    <w:p w14:paraId="3578FB6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color w:val="000000" w:themeColor="text1"/>
          <w:kern w:val="0"/>
          <w:sz w:val="24"/>
          <w:highlight w:val="none"/>
          <w:u w:val="single"/>
          <w14:textFill>
            <w14:solidFill>
              <w14:schemeClr w14:val="tx1"/>
            </w14:solidFill>
          </w14:textFill>
        </w:rPr>
      </w:pP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14:textFill>
            <w14:solidFill>
              <w14:schemeClr w14:val="tx1"/>
            </w14:solidFill>
          </w14:textFill>
        </w:rPr>
        <w:t xml:space="preserve"> </w:t>
      </w:r>
    </w:p>
    <w:p w14:paraId="2158314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三、</w:t>
      </w:r>
      <w:r>
        <w:rPr>
          <w:rFonts w:hint="eastAsia" w:ascii="宋体" w:hAnsi="宋体" w:cs="仿宋_GB2312"/>
          <w:color w:val="000000" w:themeColor="text1"/>
          <w:kern w:val="0"/>
          <w:sz w:val="24"/>
          <w:highlight w:val="none"/>
          <w:lang w:val="en-US" w:eastAsia="zh-CN"/>
          <w14:textFill>
            <w14:solidFill>
              <w14:schemeClr w14:val="tx1"/>
            </w14:solidFill>
          </w14:textFill>
        </w:rPr>
        <w:t>履约验收</w:t>
      </w:r>
    </w:p>
    <w:p w14:paraId="1796F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r>
    </w:p>
    <w:p w14:paraId="0E4FD7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2、验收方案依据项目验收清单和标准、采购文件中对项目的技术和商务规定要求、乙方响应承诺情况、合同明确约定的要求等制定。</w:t>
      </w:r>
    </w:p>
    <w:p w14:paraId="674FB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3、验收严格遵循相应标准，即乙方所提供的服务、交付的成果文件应完整、内容应满足相应要求。应符合采购文件及合同要求，响应文件及乙方在评审过程中做出的书面澄清及承诺，冲突之处执行最高标准。</w:t>
      </w:r>
    </w:p>
    <w:p w14:paraId="348EC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p w14:paraId="272ABA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四、签约合同价及价格形式</w:t>
      </w:r>
    </w:p>
    <w:p w14:paraId="6F866D9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签约合同价为：</w:t>
      </w:r>
    </w:p>
    <w:p w14:paraId="033CB52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人民币（大写）</w:t>
      </w: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u w:val="single"/>
          <w14:textFill>
            <w14:solidFill>
              <w14:schemeClr w14:val="tx1"/>
            </w14:solidFill>
          </w14:textFill>
        </w:rPr>
        <w:t>元整</w:t>
      </w:r>
      <w:r>
        <w:rPr>
          <w:rFonts w:hint="eastAsia" w:ascii="宋体" w:hAnsi="宋体" w:cs="仿宋_GB2312"/>
          <w:color w:val="000000" w:themeColor="text1"/>
          <w:kern w:val="0"/>
          <w:sz w:val="24"/>
          <w:highlight w:val="none"/>
          <w:u w:val="single"/>
          <w:lang w:eastAsia="zh-CN"/>
          <w14:textFill>
            <w14:solidFill>
              <w14:schemeClr w14:val="tx1"/>
            </w14:solidFill>
          </w14:textFill>
        </w:rPr>
        <w:t>（</w:t>
      </w:r>
      <w:r>
        <w:rPr>
          <w:rFonts w:hint="eastAsia" w:ascii="宋体" w:hAnsi="宋体" w:cs="仿宋_GB2312"/>
          <w:color w:val="000000" w:themeColor="text1"/>
          <w:kern w:val="0"/>
          <w:sz w:val="24"/>
          <w:highlight w:val="none"/>
          <w:u w:val="single"/>
          <w14:textFill>
            <w14:solidFill>
              <w14:schemeClr w14:val="tx1"/>
            </w14:solidFill>
          </w14:textFill>
        </w:rPr>
        <w:t>¥</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u w:val="single"/>
          <w14:textFill>
            <w14:solidFill>
              <w14:schemeClr w14:val="tx1"/>
            </w14:solidFill>
          </w14:textFill>
        </w:rPr>
        <w:t>元</w:t>
      </w:r>
      <w:r>
        <w:rPr>
          <w:rFonts w:hint="eastAsia" w:ascii="宋体" w:hAnsi="宋体" w:cs="仿宋_GB2312"/>
          <w:color w:val="000000" w:themeColor="text1"/>
          <w:kern w:val="0"/>
          <w:sz w:val="24"/>
          <w:highlight w:val="none"/>
          <w:u w:val="single"/>
          <w:lang w:eastAsia="zh-CN"/>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w:t>
      </w:r>
    </w:p>
    <w:p w14:paraId="0A9ED70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本合同合同总金额包含：</w:t>
      </w:r>
      <w:r>
        <w:rPr>
          <w:rFonts w:hint="eastAsia" w:ascii="宋体" w:hAnsi="宋体" w:cs="宋体"/>
          <w:bCs/>
          <w:color w:val="000000" w:themeColor="text1"/>
          <w:sz w:val="24"/>
          <w:highlight w:val="none"/>
          <w:lang w:val="en-US" w:eastAsia="zh-CN"/>
          <w14:textFill>
            <w14:solidFill>
              <w14:schemeClr w14:val="tx1"/>
            </w14:solidFill>
          </w14:textFill>
        </w:rPr>
        <w:t>服务费</w:t>
      </w:r>
      <w:r>
        <w:rPr>
          <w:rFonts w:hint="eastAsia" w:ascii="宋体" w:hAnsi="宋体" w:cs="宋体"/>
          <w:bCs/>
          <w:color w:val="000000" w:themeColor="text1"/>
          <w:sz w:val="24"/>
          <w:highlight w:val="none"/>
          <w14:textFill>
            <w14:solidFill>
              <w14:schemeClr w14:val="tx1"/>
            </w14:solidFill>
          </w14:textFill>
        </w:rPr>
        <w:t>、税金、运费、安装调试（若需要）等一切费用，除此之外，甲方不再承担任何其他费用。</w:t>
      </w:r>
    </w:p>
    <w:p w14:paraId="1C47E5F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发票</w:t>
      </w:r>
      <w:r>
        <w:rPr>
          <w:rFonts w:hint="eastAsia" w:ascii="宋体" w:hAnsi="宋体" w:cs="仿宋_GB2312"/>
          <w:color w:val="000000" w:themeColor="text1"/>
          <w:kern w:val="0"/>
          <w:sz w:val="24"/>
          <w:highlight w:val="none"/>
          <w14:textFill>
            <w14:solidFill>
              <w14:schemeClr w14:val="tx1"/>
            </w14:solidFill>
          </w14:textFill>
        </w:rPr>
        <w:t>类型</w:t>
      </w:r>
      <w:r>
        <w:rPr>
          <w:rFonts w:ascii="宋体" w:hAnsi="宋体" w:cs="仿宋_GB2312"/>
          <w:color w:val="000000" w:themeColor="text1"/>
          <w:kern w:val="0"/>
          <w:sz w:val="24"/>
          <w:highlight w:val="none"/>
          <w14:textFill>
            <w14:solidFill>
              <w14:schemeClr w14:val="tx1"/>
            </w14:solidFill>
          </w14:textFill>
        </w:rPr>
        <w:t>：增值税发票</w:t>
      </w:r>
      <w:r>
        <w:rPr>
          <w:rFonts w:hint="eastAsia" w:ascii="宋体" w:hAnsi="宋体" w:cs="仿宋_GB2312"/>
          <w:color w:val="000000" w:themeColor="text1"/>
          <w:kern w:val="0"/>
          <w:sz w:val="24"/>
          <w:highlight w:val="none"/>
          <w14:textFill>
            <w14:solidFill>
              <w14:schemeClr w14:val="tx1"/>
            </w14:solidFill>
          </w14:textFill>
        </w:rPr>
        <w:t>（其中“专用设备”须开具增值税专用发票）</w:t>
      </w:r>
    </w:p>
    <w:p w14:paraId="28137AC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开票</w:t>
      </w:r>
      <w:r>
        <w:rPr>
          <w:rFonts w:ascii="宋体" w:hAnsi="宋体" w:cs="仿宋_GB2312"/>
          <w:color w:val="000000" w:themeColor="text1"/>
          <w:kern w:val="0"/>
          <w:sz w:val="24"/>
          <w:highlight w:val="none"/>
          <w14:textFill>
            <w14:solidFill>
              <w14:schemeClr w14:val="tx1"/>
            </w14:solidFill>
          </w14:textFill>
        </w:rPr>
        <w:t>信息：</w:t>
      </w:r>
    </w:p>
    <w:p w14:paraId="2CE0473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名    称：山东第一医科大学 </w:t>
      </w:r>
    </w:p>
    <w:p w14:paraId="7ACCEF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识 别 号：12370000MB2865235G</w:t>
      </w:r>
    </w:p>
    <w:p w14:paraId="237CE6D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地    址：济南市槐荫区青岛路6699号</w:t>
      </w:r>
    </w:p>
    <w:p w14:paraId="47E8743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电    话：0538-6229987</w:t>
      </w:r>
    </w:p>
    <w:p w14:paraId="220030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账户名称：山东第一医科大学</w:t>
      </w:r>
    </w:p>
    <w:p w14:paraId="5CA4EC1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账    号：15518501040000160</w:t>
      </w:r>
    </w:p>
    <w:p w14:paraId="61FE0E4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 户 行：中国农业银行股份有限公司泰安旅游开发区分理处</w:t>
      </w:r>
    </w:p>
    <w:p w14:paraId="1C7FA68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机构代码（大额支付银行行号）：103463051852</w:t>
      </w:r>
    </w:p>
    <w:p w14:paraId="1DDFF45B">
      <w:pPr>
        <w:pStyle w:val="14"/>
        <w:keepNext w:val="0"/>
        <w:keepLines w:val="0"/>
        <w:pageBreakBefore w:val="0"/>
        <w:kinsoku/>
        <w:overflowPunct/>
        <w:topLinePunct w:val="0"/>
        <w:bidi w:val="0"/>
        <w:adjustRightInd w:val="0"/>
        <w:snapToGrid w:val="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2.合同价格形式：固定价格合同，标的物单价、总价不予调整。</w:t>
      </w:r>
    </w:p>
    <w:p w14:paraId="2C8DCA9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五、甲方项目负责人及乙方项目经理</w:t>
      </w:r>
      <w:bookmarkStart w:id="2" w:name="_GoBack"/>
      <w:bookmarkEnd w:id="2"/>
    </w:p>
    <w:p w14:paraId="549BD619">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甲方项目负责人：</w:t>
      </w: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2D4FCC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乙方项目经理</w:t>
      </w:r>
      <w:bookmarkStart w:id="0" w:name="_Hlk112687582"/>
      <w:r>
        <w:rPr>
          <w:rFonts w:hint="eastAsia" w:ascii="宋体" w:hAnsi="宋体" w:cs="宋体"/>
          <w:color w:val="000000" w:themeColor="text1"/>
          <w:sz w:val="24"/>
          <w:highlight w:val="none"/>
          <w14:textFill>
            <w14:solidFill>
              <w14:schemeClr w14:val="tx1"/>
            </w14:solidFill>
          </w14:textFill>
        </w:rPr>
        <w:t>：</w:t>
      </w:r>
      <w:bookmarkEnd w:id="0"/>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40CC07E7">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六、资金来源</w:t>
      </w:r>
    </w:p>
    <w:p w14:paraId="0BD1D4D6">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自筹资金：</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w:t>
      </w:r>
    </w:p>
    <w:p w14:paraId="23EFA8B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七、付款方式及履约保证金</w:t>
      </w:r>
    </w:p>
    <w:p w14:paraId="7EEBA38B">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000000" w:themeColor="text1"/>
          <w:kern w:val="0"/>
          <w:sz w:val="24"/>
          <w:highlight w:val="none"/>
          <w:lang w:val="en-US" w:eastAsia="zh-CN"/>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lang w:val="en-US" w:eastAsia="zh-CN"/>
          <w14:textFill>
            <w14:solidFill>
              <w14:schemeClr w14:val="tx1"/>
            </w14:solidFill>
          </w14:textFill>
        </w:rPr>
        <w:t>付款方式</w:t>
      </w:r>
    </w:p>
    <w:p w14:paraId="57B7DA2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在合同签订生效且具备实施条件后，乙方向甲方项目负责人或指定人申请，达到付款条件起7个工作日内，支付合同总金额的</w:t>
      </w:r>
      <w:r>
        <w:rPr>
          <w:rFonts w:hint="eastAsia" w:ascii="宋体" w:hAnsi="宋体" w:eastAsia="宋体" w:cs="仿宋_GB2312"/>
          <w:color w:val="000000" w:themeColor="text1"/>
          <w:kern w:val="0"/>
          <w:sz w:val="24"/>
          <w:highlight w:val="none"/>
          <w14:textFill>
            <w14:solidFill>
              <w14:schemeClr w14:val="tx1"/>
            </w14:solidFill>
          </w14:textFill>
        </w:rPr>
        <w:t>30.00%</w:t>
      </w:r>
      <w:r>
        <w:rPr>
          <w:rFonts w:hint="eastAsia" w:ascii="宋体" w:hAnsi="宋体" w:eastAsia="宋体" w:cs="仿宋_GB2312"/>
          <w:color w:val="000000" w:themeColor="text1"/>
          <w:kern w:val="0"/>
          <w:sz w:val="24"/>
          <w:highlight w:val="none"/>
          <w14:textFill>
            <w14:solidFill>
              <w14:schemeClr w14:val="tx1"/>
            </w14:solidFill>
          </w14:textFill>
        </w:rPr>
        <w:t>。验收合格后，达到付款条件起7个工作日内，支付合同总金额的</w:t>
      </w:r>
      <w:r>
        <w:rPr>
          <w:rFonts w:hint="eastAsia" w:ascii="宋体" w:hAnsi="宋体" w:eastAsia="宋体" w:cs="仿宋_GB2312"/>
          <w:color w:val="000000" w:themeColor="text1"/>
          <w:kern w:val="0"/>
          <w:sz w:val="24"/>
          <w:highlight w:val="none"/>
          <w14:textFill>
            <w14:solidFill>
              <w14:schemeClr w14:val="tx1"/>
            </w14:solidFill>
          </w14:textFill>
        </w:rPr>
        <w:t>70.00%。</w:t>
      </w:r>
    </w:p>
    <w:p w14:paraId="189985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项目验收前，乙方应将所有合同项下所有</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内容</w:t>
      </w:r>
      <w:r>
        <w:rPr>
          <w:rFonts w:hint="eastAsia" w:ascii="宋体" w:hAnsi="宋体" w:eastAsia="宋体" w:cs="仿宋_GB2312"/>
          <w:color w:val="000000" w:themeColor="text1"/>
          <w:kern w:val="0"/>
          <w:sz w:val="24"/>
          <w:highlight w:val="none"/>
          <w14:textFill>
            <w14:solidFill>
              <w14:schemeClr w14:val="tx1"/>
            </w14:solidFill>
          </w14:textFill>
        </w:rPr>
        <w:t>达到正常</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验收</w:t>
      </w:r>
      <w:r>
        <w:rPr>
          <w:rFonts w:hint="eastAsia" w:ascii="宋体" w:hAnsi="宋体" w:eastAsia="宋体" w:cs="仿宋_GB2312"/>
          <w:color w:val="000000" w:themeColor="text1"/>
          <w:kern w:val="0"/>
          <w:sz w:val="24"/>
          <w:highlight w:val="none"/>
          <w14:textFill>
            <w14:solidFill>
              <w14:schemeClr w14:val="tx1"/>
            </w14:solidFill>
          </w14:textFill>
        </w:rPr>
        <w:t>状态，否则甲方有权拒绝验收，由此造成的法律责任、各种损失由乙方承担。</w:t>
      </w:r>
    </w:p>
    <w:p w14:paraId="1D58B35B">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2、履约保证金</w:t>
      </w:r>
    </w:p>
    <w:p w14:paraId="3FD28CD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自中标（成交）公告发布之日起3个工作日内</w:t>
      </w:r>
      <w:r>
        <w:rPr>
          <w:rFonts w:hint="eastAsia" w:ascii="宋体" w:hAnsi="宋体" w:cs="宋体"/>
          <w:color w:val="000000" w:themeColor="text1"/>
          <w:sz w:val="24"/>
          <w:highlight w:val="none"/>
          <w:lang w:val="en-US"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cs="宋体"/>
          <w:color w:val="000000" w:themeColor="text1"/>
          <w:sz w:val="24"/>
          <w:highlight w:val="none"/>
          <w:lang w:val="en-US"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指定账户缴纳合同金额</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%的履约保</w:t>
      </w:r>
      <w:r>
        <w:rPr>
          <w:rFonts w:hint="eastAsia" w:ascii="宋体" w:hAnsi="宋体" w:cs="宋体"/>
          <w:color w:val="000000" w:themeColor="text1"/>
          <w:sz w:val="24"/>
          <w:highlight w:val="none"/>
          <w14:textFill>
            <w14:solidFill>
              <w14:schemeClr w14:val="tx1"/>
            </w14:solidFill>
          </w14:textFill>
        </w:rPr>
        <w:t>证金。</w:t>
      </w:r>
    </w:p>
    <w:p w14:paraId="760B78E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2</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履约保证金提交形式：</w:t>
      </w:r>
    </w:p>
    <w:p w14:paraId="679ADDC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3</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履约保证金在</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eastAsia="宋体" w:cs="仿宋_GB2312"/>
          <w:color w:val="000000" w:themeColor="text1"/>
          <w:kern w:val="0"/>
          <w:sz w:val="24"/>
          <w:highlight w:val="none"/>
          <w14:textFill>
            <w14:solidFill>
              <w14:schemeClr w14:val="tx1"/>
            </w14:solidFill>
          </w14:textFill>
        </w:rPr>
        <w:t>验收合格后，没有任何质量问题，由乙方向甲方提交申请，甲方根据履约情况无息退还给乙方。</w:t>
      </w:r>
    </w:p>
    <w:p w14:paraId="11871AC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4</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履约保证金缴纳信息：</w:t>
      </w:r>
    </w:p>
    <w:p w14:paraId="010B89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开户单位：山东第一医科大学</w:t>
      </w:r>
    </w:p>
    <w:p w14:paraId="6C9572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开户银行：中国农业银行股份有限公司济南槐荫支行</w:t>
      </w:r>
    </w:p>
    <w:p w14:paraId="754D890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账号：15126101040096666</w:t>
      </w:r>
    </w:p>
    <w:p w14:paraId="0FD6698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大额支付行号：103451012615</w:t>
      </w:r>
    </w:p>
    <w:p w14:paraId="7FDA967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八、合同融资事项</w:t>
      </w:r>
    </w:p>
    <w:p w14:paraId="350E766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33C7B37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九、合同文件构成</w:t>
      </w:r>
    </w:p>
    <w:p w14:paraId="1725A6C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本协议书与下列文件一起构成合同文件：</w:t>
      </w:r>
    </w:p>
    <w:p w14:paraId="2761E8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）中标或成交通知书；</w:t>
      </w:r>
    </w:p>
    <w:p w14:paraId="5AF5D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2</w:t>
      </w:r>
      <w:r>
        <w:rPr>
          <w:rFonts w:hint="eastAsia" w:ascii="宋体" w:hAnsi="宋体" w:cs="仿宋_GB2312"/>
          <w:color w:val="000000" w:themeColor="text1"/>
          <w:kern w:val="0"/>
          <w:sz w:val="24"/>
          <w:highlight w:val="none"/>
          <w14:textFill>
            <w14:solidFill>
              <w14:schemeClr w14:val="tx1"/>
            </w14:solidFill>
          </w14:textFill>
        </w:rPr>
        <w:t>）投标函及其附录；</w:t>
      </w:r>
      <w:r>
        <w:rPr>
          <w:rFonts w:ascii="宋体" w:hAnsi="宋体" w:cs="仿宋_GB2312"/>
          <w:color w:val="000000" w:themeColor="text1"/>
          <w:kern w:val="0"/>
          <w:sz w:val="24"/>
          <w:highlight w:val="none"/>
          <w14:textFill>
            <w14:solidFill>
              <w14:schemeClr w14:val="tx1"/>
            </w14:solidFill>
          </w14:textFill>
        </w:rPr>
        <w:t xml:space="preserve"> </w:t>
      </w:r>
    </w:p>
    <w:p w14:paraId="75D7D71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3</w:t>
      </w:r>
      <w:r>
        <w:rPr>
          <w:rFonts w:hint="eastAsia" w:ascii="宋体" w:hAnsi="宋体" w:cs="仿宋_GB2312"/>
          <w:color w:val="000000" w:themeColor="text1"/>
          <w:kern w:val="0"/>
          <w:sz w:val="24"/>
          <w:highlight w:val="none"/>
          <w14:textFill>
            <w14:solidFill>
              <w14:schemeClr w14:val="tx1"/>
            </w14:solidFill>
          </w14:textFill>
        </w:rPr>
        <w:t>）合同条款；</w:t>
      </w:r>
    </w:p>
    <w:p w14:paraId="2767622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4</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标准和要求；</w:t>
      </w:r>
    </w:p>
    <w:p w14:paraId="46646A7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5</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服务费用报价表</w:t>
      </w:r>
      <w:r>
        <w:rPr>
          <w:rFonts w:hint="eastAsia" w:ascii="宋体" w:hAnsi="宋体" w:cs="仿宋_GB2312"/>
          <w:color w:val="000000" w:themeColor="text1"/>
          <w:kern w:val="0"/>
          <w:sz w:val="24"/>
          <w:highlight w:val="none"/>
          <w14:textFill>
            <w14:solidFill>
              <w14:schemeClr w14:val="tx1"/>
            </w14:solidFill>
          </w14:textFill>
        </w:rPr>
        <w:t>；</w:t>
      </w:r>
    </w:p>
    <w:p w14:paraId="74786C3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6</w:t>
      </w:r>
      <w:r>
        <w:rPr>
          <w:rFonts w:hint="eastAsia" w:ascii="宋体" w:hAnsi="宋体" w:cs="仿宋_GB2312"/>
          <w:color w:val="000000" w:themeColor="text1"/>
          <w:kern w:val="0"/>
          <w:sz w:val="24"/>
          <w:highlight w:val="none"/>
          <w14:textFill>
            <w14:solidFill>
              <w14:schemeClr w14:val="tx1"/>
            </w14:solidFill>
          </w14:textFill>
        </w:rPr>
        <w:t>）其他合同文件。</w:t>
      </w:r>
    </w:p>
    <w:p w14:paraId="00F80C3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在合同订立及履行过程中形成的与合同有关的文件均构成合同文件组成部分。</w:t>
      </w:r>
    </w:p>
    <w:p w14:paraId="489835E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2C9F93C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十、承诺</w:t>
      </w:r>
    </w:p>
    <w:p w14:paraId="54E22AC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1.采购人承诺按照法律规定履行项目审批手续、筹集项目资金并按照合同约定的期限和方式支付合同价款。</w:t>
      </w:r>
    </w:p>
    <w:p w14:paraId="0533F8A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2.供应商承诺按照法律规定及合同约定开展服务工作，确保服务质量和效率，不进行转包及违法分包，并在缺陷责任期及保修期内承担相应的责任。</w:t>
      </w:r>
    </w:p>
    <w:p w14:paraId="7B074BB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3.采购人和供应商通过招投标形式签订合同的，双方理解并承诺不再就同一项目另行签订与合同实质性内容相背离的协议。</w:t>
      </w:r>
    </w:p>
    <w:p w14:paraId="6C3C3F1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十一、签订时间</w:t>
      </w:r>
    </w:p>
    <w:p w14:paraId="601EDE4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本合同于</w:t>
      </w:r>
      <w:bookmarkStart w:id="1" w:name="makeContractDate"/>
      <w:r>
        <w:rPr>
          <w:rFonts w:hint="eastAsia" w:ascii="宋体" w:hAnsi="宋体" w:cs="仿宋_GB2312"/>
          <w:color w:val="000000" w:themeColor="text1"/>
          <w:kern w:val="0"/>
          <w:sz w:val="24"/>
          <w:highlight w:val="none"/>
          <w:lang w:eastAsia="zh-CN"/>
          <w14:textFill>
            <w14:solidFill>
              <w14:schemeClr w14:val="tx1"/>
            </w14:solidFill>
          </w14:textFill>
        </w:rPr>
        <w:t>2026年</w:t>
      </w:r>
      <w:r>
        <w:rPr>
          <w:rFonts w:ascii="宋体" w:hAnsi="宋体" w:cs="仿宋_GB2312"/>
          <w:color w:val="000000" w:themeColor="text1"/>
          <w:kern w:val="0"/>
          <w:sz w:val="24"/>
          <w:highlight w:val="none"/>
          <w14:textFill>
            <w14:solidFill>
              <w14:schemeClr w14:val="tx1"/>
            </w14:solidFill>
          </w14:textFill>
        </w:rPr>
        <w:t xml:space="preserve"> 月 日</w:t>
      </w:r>
      <w:bookmarkEnd w:id="1"/>
      <w:r>
        <w:rPr>
          <w:rFonts w:hint="eastAsia" w:ascii="宋体" w:hAnsi="宋体" w:cs="仿宋_GB2312"/>
          <w:color w:val="000000" w:themeColor="text1"/>
          <w:kern w:val="0"/>
          <w:sz w:val="24"/>
          <w:highlight w:val="none"/>
          <w14:textFill>
            <w14:solidFill>
              <w14:schemeClr w14:val="tx1"/>
            </w14:solidFill>
          </w14:textFill>
        </w:rPr>
        <w:t>签订。</w:t>
      </w:r>
    </w:p>
    <w:p w14:paraId="3FD1A44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十二、签订地点</w:t>
      </w:r>
    </w:p>
    <w:p w14:paraId="59343C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本合同在山东第一医科大学签订。</w:t>
      </w:r>
    </w:p>
    <w:p w14:paraId="0AF8FD4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十三、补充协议</w:t>
      </w:r>
    </w:p>
    <w:p w14:paraId="26C4A5A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合同未尽事宜，合同当事人另行签订补充协议，补充协议是合同的组成部分。</w:t>
      </w:r>
    </w:p>
    <w:p w14:paraId="18B766B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十四、合同生效</w:t>
      </w:r>
    </w:p>
    <w:p w14:paraId="351D91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cs="仿宋_GB2312"/>
          <w:color w:val="000000" w:themeColor="text1"/>
          <w:kern w:val="0"/>
          <w:sz w:val="24"/>
          <w:highlight w:val="none"/>
          <w14:textFill>
            <w14:solidFill>
              <w14:schemeClr w14:val="tx1"/>
            </w14:solidFill>
          </w14:textFill>
        </w:rPr>
        <w:t>本合同经双方签字盖章后生效。</w:t>
      </w:r>
    </w:p>
    <w:p w14:paraId="6C8173F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十五、合同份数</w:t>
      </w:r>
    </w:p>
    <w:p w14:paraId="27A791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本合同一式柒份，均具有同等法律效力，甲方执肆份，乙方执壹份，代理机构贰份。</w:t>
      </w:r>
    </w:p>
    <w:tbl>
      <w:tblPr>
        <w:tblStyle w:val="12"/>
        <w:tblW w:w="5204" w:type="pct"/>
        <w:tblInd w:w="0" w:type="dxa"/>
        <w:tblLayout w:type="autofit"/>
        <w:tblCellMar>
          <w:top w:w="0" w:type="dxa"/>
          <w:left w:w="108" w:type="dxa"/>
          <w:bottom w:w="0" w:type="dxa"/>
          <w:right w:w="108" w:type="dxa"/>
        </w:tblCellMar>
      </w:tblPr>
      <w:tblGrid>
        <w:gridCol w:w="4303"/>
        <w:gridCol w:w="4567"/>
      </w:tblGrid>
      <w:tr w14:paraId="2845C622">
        <w:tblPrEx>
          <w:tblCellMar>
            <w:top w:w="0" w:type="dxa"/>
            <w:left w:w="108" w:type="dxa"/>
            <w:bottom w:w="0" w:type="dxa"/>
            <w:right w:w="108" w:type="dxa"/>
          </w:tblCellMar>
        </w:tblPrEx>
        <w:trPr>
          <w:trHeight w:val="1218" w:hRule="atLeast"/>
        </w:trPr>
        <w:tc>
          <w:tcPr>
            <w:tcW w:w="4303" w:type="dxa"/>
            <w:noWrap w:val="0"/>
            <w:vAlign w:val="center"/>
          </w:tcPr>
          <w:p w14:paraId="22659BAB">
            <w:pPr>
              <w:pStyle w:val="3"/>
              <w:keepNext w:val="0"/>
              <w:keepLines w:val="0"/>
              <w:pageBreakBefore w:val="0"/>
              <w:kinsoku/>
              <w:overflowPunct/>
              <w:topLinePunct w:val="0"/>
              <w:bidi w:val="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甲方：山东第一医科大学</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盖章</w:t>
            </w:r>
            <w:r>
              <w:rPr>
                <w:rFonts w:hint="eastAsia" w:ascii="宋体" w:hAnsi="宋体" w:cs="宋体"/>
                <w:color w:val="000000" w:themeColor="text1"/>
                <w:sz w:val="24"/>
                <w:highlight w:val="none"/>
                <w:lang w:eastAsia="zh-CN"/>
                <w14:textFill>
                  <w14:solidFill>
                    <w14:schemeClr w14:val="tx1"/>
                  </w14:solidFill>
                </w14:textFill>
              </w:rPr>
              <w:t>）</w:t>
            </w:r>
          </w:p>
        </w:tc>
        <w:tc>
          <w:tcPr>
            <w:tcW w:w="4567" w:type="dxa"/>
            <w:noWrap w:val="0"/>
            <w:vAlign w:val="center"/>
          </w:tcPr>
          <w:p w14:paraId="76EF2328">
            <w:pPr>
              <w:keepNext w:val="0"/>
              <w:keepLines w:val="0"/>
              <w:pageBreakBefore w:val="0"/>
              <w:kinsoku/>
              <w:overflowPunct/>
              <w:topLinePunct w:val="0"/>
              <w:bidi w:val="0"/>
              <w:spacing w:line="360" w:lineRule="auto"/>
              <w:ind w:left="-2" w:leftChars="-1"/>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乙方：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盖章</w:t>
            </w:r>
            <w:r>
              <w:rPr>
                <w:rFonts w:hint="eastAsia" w:ascii="宋体" w:hAnsi="宋体" w:cs="宋体"/>
                <w:color w:val="000000" w:themeColor="text1"/>
                <w:sz w:val="24"/>
                <w:highlight w:val="none"/>
                <w:lang w:eastAsia="zh-CN"/>
                <w14:textFill>
                  <w14:solidFill>
                    <w14:schemeClr w14:val="tx1"/>
                  </w14:solidFill>
                </w14:textFill>
              </w:rPr>
              <w:t>）</w:t>
            </w:r>
          </w:p>
        </w:tc>
      </w:tr>
      <w:tr w14:paraId="73D7F290">
        <w:tblPrEx>
          <w:tblCellMar>
            <w:top w:w="0" w:type="dxa"/>
            <w:left w:w="108" w:type="dxa"/>
            <w:bottom w:w="0" w:type="dxa"/>
            <w:right w:w="108" w:type="dxa"/>
          </w:tblCellMar>
        </w:tblPrEx>
        <w:trPr>
          <w:trHeight w:val="1088" w:hRule="atLeast"/>
        </w:trPr>
        <w:tc>
          <w:tcPr>
            <w:tcW w:w="4303" w:type="dxa"/>
            <w:noWrap w:val="0"/>
            <w:vAlign w:val="center"/>
          </w:tcPr>
          <w:p w14:paraId="640B2235">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p w14:paraId="4263676A">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（签字或签章）</w:t>
            </w:r>
          </w:p>
        </w:tc>
        <w:tc>
          <w:tcPr>
            <w:tcW w:w="4567" w:type="dxa"/>
            <w:noWrap w:val="0"/>
            <w:vAlign w:val="center"/>
          </w:tcPr>
          <w:p w14:paraId="50EF5C7B">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p w14:paraId="73810902">
            <w:pPr>
              <w:keepNext w:val="0"/>
              <w:keepLines w:val="0"/>
              <w:pageBreakBefore w:val="0"/>
              <w:kinsoku/>
              <w:overflowPunct/>
              <w:topLinePunct w:val="0"/>
              <w:bidi w:val="0"/>
              <w:spacing w:line="360" w:lineRule="auto"/>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（签字或签章）</w:t>
            </w:r>
          </w:p>
        </w:tc>
      </w:tr>
      <w:tr w14:paraId="422B950A">
        <w:tblPrEx>
          <w:tblCellMar>
            <w:top w:w="0" w:type="dxa"/>
            <w:left w:w="108" w:type="dxa"/>
            <w:bottom w:w="0" w:type="dxa"/>
            <w:right w:w="108" w:type="dxa"/>
          </w:tblCellMar>
        </w:tblPrEx>
        <w:trPr>
          <w:trHeight w:val="559" w:hRule="atLeast"/>
        </w:trPr>
        <w:tc>
          <w:tcPr>
            <w:tcW w:w="4303" w:type="dxa"/>
            <w:noWrap w:val="0"/>
            <w:vAlign w:val="center"/>
          </w:tcPr>
          <w:p w14:paraId="0209A5B7">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住所：济南市槐荫区青岛路6699号 </w:t>
            </w:r>
          </w:p>
        </w:tc>
        <w:tc>
          <w:tcPr>
            <w:tcW w:w="4567" w:type="dxa"/>
            <w:noWrap w:val="0"/>
            <w:vAlign w:val="center"/>
          </w:tcPr>
          <w:p w14:paraId="6B649284">
            <w:pPr>
              <w:pStyle w:val="3"/>
              <w:keepNext w:val="0"/>
              <w:keepLines w:val="0"/>
              <w:pageBreakBefore w:val="0"/>
              <w:kinsoku/>
              <w:overflowPunct/>
              <w:topLinePunct w:val="0"/>
              <w:bidi w:val="0"/>
              <w:ind w:left="720" w:hanging="720" w:hanging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住所： </w:t>
            </w:r>
            <w:r>
              <w:rPr>
                <w:rFonts w:ascii="宋体" w:hAnsi="宋体" w:cs="宋体"/>
                <w:color w:val="000000" w:themeColor="text1"/>
                <w:sz w:val="24"/>
                <w:highlight w:val="none"/>
                <w14:textFill>
                  <w14:solidFill>
                    <w14:schemeClr w14:val="tx1"/>
                  </w14:solidFill>
                </w14:textFill>
              </w:rPr>
              <w:t xml:space="preserve">             </w:t>
            </w:r>
          </w:p>
        </w:tc>
      </w:tr>
      <w:tr w14:paraId="16C8F9DA">
        <w:tblPrEx>
          <w:tblCellMar>
            <w:top w:w="0" w:type="dxa"/>
            <w:left w:w="108" w:type="dxa"/>
            <w:bottom w:w="0" w:type="dxa"/>
            <w:right w:w="108" w:type="dxa"/>
          </w:tblCellMar>
        </w:tblPrEx>
        <w:trPr>
          <w:trHeight w:val="571" w:hRule="atLeast"/>
        </w:trPr>
        <w:tc>
          <w:tcPr>
            <w:tcW w:w="4303" w:type="dxa"/>
            <w:noWrap w:val="0"/>
            <w:vAlign w:val="center"/>
          </w:tcPr>
          <w:p w14:paraId="5551A782">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话：0538-6229987</w:t>
            </w:r>
          </w:p>
        </w:tc>
        <w:tc>
          <w:tcPr>
            <w:tcW w:w="4567" w:type="dxa"/>
            <w:noWrap w:val="0"/>
            <w:vAlign w:val="center"/>
          </w:tcPr>
          <w:p w14:paraId="228C2BA4">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 xml:space="preserve">            </w:t>
            </w:r>
          </w:p>
        </w:tc>
      </w:tr>
      <w:tr w14:paraId="018DC658">
        <w:tblPrEx>
          <w:tblCellMar>
            <w:top w:w="0" w:type="dxa"/>
            <w:left w:w="108" w:type="dxa"/>
            <w:bottom w:w="0" w:type="dxa"/>
            <w:right w:w="108" w:type="dxa"/>
          </w:tblCellMar>
        </w:tblPrEx>
        <w:trPr>
          <w:trHeight w:val="797" w:hRule="atLeast"/>
        </w:trPr>
        <w:tc>
          <w:tcPr>
            <w:tcW w:w="4303" w:type="dxa"/>
            <w:noWrap w:val="0"/>
            <w:vAlign w:val="center"/>
          </w:tcPr>
          <w:p w14:paraId="0FB0C226">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开户银行：中国农业银行股份有限公司</w:t>
            </w:r>
          </w:p>
          <w:p w14:paraId="7AC5602F">
            <w:pPr>
              <w:pStyle w:val="3"/>
              <w:keepNext w:val="0"/>
              <w:keepLines w:val="0"/>
              <w:pageBreakBefore w:val="0"/>
              <w:kinsoku/>
              <w:overflowPunct/>
              <w:topLinePunct w:val="0"/>
              <w:bidi w:val="0"/>
              <w:ind w:firstLine="1200" w:firstLineChars="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泰安旅游开发区分理处</w:t>
            </w:r>
          </w:p>
        </w:tc>
        <w:tc>
          <w:tcPr>
            <w:tcW w:w="4567" w:type="dxa"/>
            <w:noWrap w:val="0"/>
            <w:vAlign w:val="center"/>
          </w:tcPr>
          <w:p w14:paraId="7B6143ED">
            <w:pPr>
              <w:pStyle w:val="3"/>
              <w:keepNext w:val="0"/>
              <w:keepLines w:val="0"/>
              <w:pageBreakBefore w:val="0"/>
              <w:kinsoku/>
              <w:overflowPunct/>
              <w:topLinePunct w:val="0"/>
              <w:bidi w:val="0"/>
              <w:ind w:left="1200" w:hanging="1200" w:hangingChars="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开户银行： </w:t>
            </w:r>
            <w:r>
              <w:rPr>
                <w:rFonts w:ascii="宋体" w:hAnsi="宋体" w:cs="宋体"/>
                <w:color w:val="000000" w:themeColor="text1"/>
                <w:sz w:val="24"/>
                <w:highlight w:val="none"/>
                <w14:textFill>
                  <w14:solidFill>
                    <w14:schemeClr w14:val="tx1"/>
                  </w14:solidFill>
                </w14:textFill>
              </w:rPr>
              <w:t xml:space="preserve">  </w:t>
            </w:r>
          </w:p>
        </w:tc>
      </w:tr>
      <w:tr w14:paraId="63BD69CA">
        <w:tblPrEx>
          <w:tblCellMar>
            <w:top w:w="0" w:type="dxa"/>
            <w:left w:w="108" w:type="dxa"/>
            <w:bottom w:w="0" w:type="dxa"/>
            <w:right w:w="108" w:type="dxa"/>
          </w:tblCellMar>
        </w:tblPrEx>
        <w:trPr>
          <w:trHeight w:val="499" w:hRule="atLeast"/>
        </w:trPr>
        <w:tc>
          <w:tcPr>
            <w:tcW w:w="4303" w:type="dxa"/>
            <w:noWrap w:val="0"/>
            <w:vAlign w:val="center"/>
          </w:tcPr>
          <w:p w14:paraId="2AC0D593">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账号：15518501040000160</w:t>
            </w:r>
          </w:p>
        </w:tc>
        <w:tc>
          <w:tcPr>
            <w:tcW w:w="4567" w:type="dxa"/>
            <w:noWrap w:val="0"/>
            <w:vAlign w:val="center"/>
          </w:tcPr>
          <w:p w14:paraId="1A9370CB">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账号：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tc>
      </w:tr>
      <w:tr w14:paraId="5C0A9DC7">
        <w:tblPrEx>
          <w:tblCellMar>
            <w:top w:w="0" w:type="dxa"/>
            <w:left w:w="108" w:type="dxa"/>
            <w:bottom w:w="0" w:type="dxa"/>
            <w:right w:w="108" w:type="dxa"/>
          </w:tblCellMar>
        </w:tblPrEx>
        <w:trPr>
          <w:trHeight w:val="461" w:hRule="atLeast"/>
        </w:trPr>
        <w:tc>
          <w:tcPr>
            <w:tcW w:w="4303" w:type="dxa"/>
            <w:noWrap w:val="0"/>
            <w:vAlign w:val="center"/>
          </w:tcPr>
          <w:p w14:paraId="2F1349F6">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p>
        </w:tc>
        <w:tc>
          <w:tcPr>
            <w:tcW w:w="4567" w:type="dxa"/>
            <w:noWrap w:val="0"/>
            <w:vAlign w:val="center"/>
          </w:tcPr>
          <w:p w14:paraId="7A8384ED">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p>
        </w:tc>
      </w:tr>
    </w:tbl>
    <w:p w14:paraId="3CDF0FB8">
      <w:pPr>
        <w:keepNext w:val="0"/>
        <w:keepLines w:val="0"/>
        <w:pageBreakBefore w:val="0"/>
        <w:kinsoku/>
        <w:overflowPunct/>
        <w:topLinePunct w:val="0"/>
        <w:bidi w:val="0"/>
        <w:jc w:val="center"/>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合同条款</w:t>
      </w:r>
    </w:p>
    <w:p w14:paraId="64ECD0A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第一条 合同内容</w:t>
      </w:r>
    </w:p>
    <w:p w14:paraId="167CEBD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1.1 采购人委托供应商实施提供本项服务工作，供应商承诺提供并完成此项服务工作。</w:t>
      </w:r>
    </w:p>
    <w:p w14:paraId="4E50989F">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1.2服务阶段：</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C0DCC42">
      <w:pPr>
        <w:adjustRightInd w:val="0"/>
        <w:snapToGrid w:val="0"/>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1.3服务内容：</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0176D2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1.4 服务的进度安排：</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05ADF43">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 服务的机构、职责与人员配备安排</w:t>
      </w:r>
    </w:p>
    <w:p w14:paraId="5D1509A5">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1.5.1服务机构。供应商按照服务内容和目标要求成立服务机构如下：___________________________。 </w:t>
      </w:r>
    </w:p>
    <w:p w14:paraId="2F433A5A">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1.5.2职责。服务机构在项目经理领导下，按照职能要求和目标任务确定工作职责，于项目启动后三日内建立健全各项规章制度。</w:t>
      </w:r>
    </w:p>
    <w:p w14:paraId="2F36B8AB">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1.5.3人员。供应商根据部门职能和采购人需要配备有关专业人员。</w:t>
      </w:r>
    </w:p>
    <w:p w14:paraId="421B0AA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1.6服务自合同生效之日起至服务工作完成之日止，供应商提供服务的同时，应及时向采购人报告服务工作推进情况和进展。</w:t>
      </w:r>
    </w:p>
    <w:p w14:paraId="0BE4D75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第二条 双方的责任和义务</w:t>
      </w:r>
    </w:p>
    <w:p w14:paraId="73F61B7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2.1 采购人应向供应商提供与项目有关的资料、图纸、信息等，并给予供应商开展工作提供力所能及的协助，在适当时候指定一名代表与供应商联系。</w:t>
      </w:r>
    </w:p>
    <w:p w14:paraId="3506536D">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2.2 采购人应为供应商就项目服务推进提供正当工作便利，费用由供应商负担。</w:t>
      </w:r>
    </w:p>
    <w:p w14:paraId="532EF29D">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5657194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2.4 供应商应根据服务的内容和进度安排，按时提交技术报告及有关资料。</w:t>
      </w:r>
    </w:p>
    <w:p w14:paraId="27364D2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2.5 供应商为采购人的技术人员前往供应商驻地和考察提供必要的设施和交通便利。</w:t>
      </w:r>
    </w:p>
    <w:p w14:paraId="3A18846E">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2.6 供应商对因执行其提供的服务而给采购人工作人员造成的人身损害和财产损失承担责任并予以赔偿。</w:t>
      </w:r>
    </w:p>
    <w:p w14:paraId="0FA0B0E6">
      <w:pPr>
        <w:pStyle w:val="11"/>
        <w:adjustRightInd w:val="0"/>
        <w:snapToGrid w:val="0"/>
        <w:spacing w:before="0" w:beforeAutospacing="0" w:after="0" w:afterAutospacing="0" w:line="360" w:lineRule="auto"/>
        <w:ind w:firstLine="56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第三条 服务报酬</w:t>
      </w:r>
    </w:p>
    <w:p w14:paraId="749DDD73">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3.1计取依据：________________________</w:t>
      </w:r>
      <w:r>
        <w:rPr>
          <w:rFonts w:hint="eastAsia" w:ascii="宋体" w:hAnsi="宋体" w:eastAsia="宋体" w:cs="宋体"/>
          <w:color w:val="000000" w:themeColor="text1"/>
          <w:sz w:val="24"/>
          <w:szCs w:val="24"/>
          <w:highlight w:val="none"/>
          <w14:textFill>
            <w14:solidFill>
              <w14:schemeClr w14:val="tx1"/>
            </w14:solidFill>
          </w14:textFill>
        </w:rPr>
        <w:t>。</w:t>
      </w:r>
    </w:p>
    <w:p w14:paraId="5F4712B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50E95D31">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3.3服务价款支付：</w:t>
      </w:r>
      <w:r>
        <w:rPr>
          <w:rFonts w:hint="eastAsia" w:ascii="宋体" w:hAnsi="宋体" w:eastAsia="宋体" w:cs="宋体"/>
          <w:color w:val="000000" w:themeColor="text1"/>
          <w:sz w:val="24"/>
          <w:szCs w:val="24"/>
          <w:highlight w:val="none"/>
          <w:u w:val="single"/>
          <w14:textFill>
            <w14:solidFill>
              <w14:schemeClr w14:val="tx1"/>
            </w14:solidFill>
          </w14:textFill>
        </w:rPr>
        <w:t>见本合同第七条</w:t>
      </w:r>
    </w:p>
    <w:p w14:paraId="500B9B10">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 对供应商提供的服务，采购人将以上述方式或比例予以付款。采购人向供应商支付服务报酬时，供应商按照财务制度提供发票。</w:t>
      </w:r>
    </w:p>
    <w:p w14:paraId="054CC85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第四条 保密</w:t>
      </w:r>
    </w:p>
    <w:p w14:paraId="0074C44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10D6878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4.2 合同有效期内，双方采取适当措施对相关资料或信息予以严格保密，未经一方的书面同意，另一方不得泄露给任何第三方。</w:t>
      </w:r>
    </w:p>
    <w:p w14:paraId="5DAA9A4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4.3 一方和其技术人员在履行合同过程中所获得或接触到的任何保密信息，另一方有义务予以保密，未经其书面同意，任何一方不得使用或泄露从他方获得的上述保密信息。</w:t>
      </w:r>
    </w:p>
    <w:p w14:paraId="4B1C871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第五条 税费</w:t>
      </w:r>
    </w:p>
    <w:p w14:paraId="2F6664FE">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5.1 国家根据税法对甲乙双方征收的与执行本合同或与本合同有关的一切税费</w:t>
      </w:r>
      <w:r>
        <w:rPr>
          <w:rFonts w:hint="eastAsia" w:ascii="宋体" w:hAnsi="宋体" w:eastAsia="宋体" w:cs="宋体"/>
          <w:color w:val="000000" w:themeColor="text1"/>
          <w:sz w:val="24"/>
          <w:szCs w:val="24"/>
          <w:highlight w:val="none"/>
          <w:lang w:val="en-US" w:eastAsia="zh-CN"/>
          <w14:textFill>
            <w14:solidFill>
              <w14:schemeClr w14:val="tx1"/>
            </w14:solidFill>
          </w14:textFill>
        </w:rPr>
        <w:t>已包含在总价中</w:t>
      </w:r>
      <w:r>
        <w:rPr>
          <w:rFonts w:hint="eastAsia" w:ascii="宋体" w:hAnsi="宋体" w:eastAsia="宋体" w:cs="宋体"/>
          <w:color w:val="000000" w:themeColor="text1"/>
          <w:sz w:val="24"/>
          <w:szCs w:val="24"/>
          <w:highlight w:val="none"/>
          <w14:textFill>
            <w14:solidFill>
              <w14:schemeClr w14:val="tx1"/>
            </w14:solidFill>
          </w14:textFill>
        </w:rPr>
        <w:t>。</w:t>
      </w:r>
    </w:p>
    <w:p w14:paraId="489311F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第六条 保证</w:t>
      </w:r>
    </w:p>
    <w:p w14:paraId="7A529D3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6.1 供应商保证其经验和能力能以令人满意的方式富有效率且迅速地开展服务，其合同项下的服务由胜任的技术人员依据双方接受的标准完成。</w:t>
      </w:r>
    </w:p>
    <w:p w14:paraId="0F2324D3">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51F52F1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第七条 服务成果的归属</w:t>
      </w:r>
    </w:p>
    <w:p w14:paraId="6F7E8289">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527F850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7.2 供应商可保存上述资料的复印件，包括采购人提供的资料，但未经采购人的书面同意，供应商不得将上述资料用于与本服务项目之外的任何项目。</w:t>
      </w:r>
    </w:p>
    <w:p w14:paraId="0693C3F0">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第八条 转让</w:t>
      </w:r>
    </w:p>
    <w:p w14:paraId="689E458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8.1 未经另一方事先书面同意，无论是采购人或是供应商均不得将其合同权利或义务转让或转包给他人。</w:t>
      </w:r>
    </w:p>
    <w:p w14:paraId="47A9207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第九条 不可抗力</w:t>
      </w:r>
    </w:p>
    <w:p w14:paraId="2A514C91">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9.1 任何一方由于战争及严重的火灾、台风、地震、水灾和其它不能预见、不可避免和不能克服的事件而影响其履行合同所规定的义务的，受事故影响的一方将发生的不可抗力事故的情况及时通知另一方。</w:t>
      </w:r>
    </w:p>
    <w:p w14:paraId="56C4BCA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9.2 受影响的一方对因不可抗力而不能履行或延迟履行合同义务不承担责任。受影响的一方应在不可抗力事故消除后尽快通知另一方。</w:t>
      </w:r>
    </w:p>
    <w:p w14:paraId="7B4EE0B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9.3 双方在不可抗力事故停止后或影响消除后立即继续履行合同义务，合同有效期和/或有关履行合同的预定的期限相应延长。</w:t>
      </w:r>
    </w:p>
    <w:p w14:paraId="5933B96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第十条 仲裁</w:t>
      </w:r>
    </w:p>
    <w:p w14:paraId="4CE6FB3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10.1 因本合同履行引起的或与本合同有关的任何争议，可提交</w:t>
      </w:r>
      <w:r>
        <w:rPr>
          <w:rFonts w:hint="eastAsia" w:ascii="宋体" w:hAnsi="宋体" w:cs="宋体"/>
          <w:color w:val="000000" w:themeColor="text1"/>
          <w:sz w:val="24"/>
          <w:szCs w:val="24"/>
          <w:highlight w:val="none"/>
          <w:lang w:val="en-US" w:eastAsia="zh-CN"/>
          <w14:textFill>
            <w14:solidFill>
              <w14:schemeClr w14:val="tx1"/>
            </w14:solidFill>
          </w14:textFill>
        </w:rPr>
        <w:t>济南</w:t>
      </w:r>
      <w:r>
        <w:rPr>
          <w:rFonts w:hint="eastAsia" w:ascii="宋体" w:hAnsi="宋体" w:eastAsia="宋体" w:cs="宋体"/>
          <w:color w:val="000000" w:themeColor="text1"/>
          <w:sz w:val="24"/>
          <w:szCs w:val="24"/>
          <w:highlight w:val="none"/>
          <w14:textFill>
            <w14:solidFill>
              <w14:schemeClr w14:val="tx1"/>
            </w14:solidFill>
          </w14:textFill>
        </w:rPr>
        <w:t>仲裁委员会仲裁，仲裁裁决是终局的，对双方均有约束力。</w:t>
      </w:r>
    </w:p>
    <w:p w14:paraId="76E1C5C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10.2 除非另有规定，仲裁不得影响合同双方继续履行合同所规定的义务。</w:t>
      </w:r>
    </w:p>
    <w:p w14:paraId="37D0CDCA">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第十一条 语言和标准</w:t>
      </w:r>
    </w:p>
    <w:p w14:paraId="5A4DDD3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11.1 除本合同及附件外，采购人和供应商之间的所有往来函件，供应商给采购人的资料、文件和技术咨询报告、图纸等均采用中文。</w:t>
      </w:r>
    </w:p>
    <w:p w14:paraId="2B1FE61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第十二条 合同的生效及其它</w:t>
      </w:r>
    </w:p>
    <w:p w14:paraId="282D09B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12.1本合同自双方签字盖章之日起生效，有效期自合同生效之日起为服务工作结束且支付完毕服务报酬后失效。。</w:t>
      </w:r>
    </w:p>
    <w:p w14:paraId="4B32A79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12.2 所有对本合同的修订、补充、删减、或变更等均以书面完成并经双方授权代表签字后生效。生效的修订、补充、删减、或变更构成本合同不可分割的组成部分，与合同正文具有同等法律效力。</w:t>
      </w:r>
    </w:p>
    <w:p w14:paraId="3E658B9C">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12.3双方之间的联系应以书面形式进行。</w:t>
      </w:r>
    </w:p>
    <w:p w14:paraId="45C76209">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12.4 补充条款：_____________________。</w:t>
      </w:r>
    </w:p>
    <w:p w14:paraId="64C2CFEE">
      <w:pPr>
        <w:pStyle w:val="2"/>
        <w:keepNext w:val="0"/>
        <w:keepLines w:val="0"/>
        <w:pageBreakBefore w:val="0"/>
        <w:kinsoku/>
        <w:overflowPunct/>
        <w:topLinePunct w:val="0"/>
        <w:bidi w:val="0"/>
        <w:rPr>
          <w:rFonts w:ascii="宋体" w:cs="宋体"/>
          <w:color w:val="000000" w:themeColor="text1"/>
          <w:sz w:val="24"/>
          <w:highlight w:val="none"/>
          <w14:textFill>
            <w14:solidFill>
              <w14:schemeClr w14:val="tx1"/>
            </w14:solidFill>
          </w14:textFill>
        </w:rPr>
      </w:pPr>
    </w:p>
    <w:p w14:paraId="68B56E05">
      <w:pPr>
        <w:keepNext w:val="0"/>
        <w:keepLines w:val="0"/>
        <w:pageBreakBefore w:val="0"/>
        <w:kinsoku/>
        <w:overflowPunct/>
        <w:topLinePunct w:val="0"/>
        <w:bidi w:val="0"/>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合同附件：</w:t>
      </w:r>
    </w:p>
    <w:p w14:paraId="7DFE2721">
      <w:pPr>
        <w:pStyle w:val="5"/>
        <w:keepNext w:val="0"/>
        <w:keepLines w:val="0"/>
        <w:pageBreakBefore w:val="0"/>
        <w:kinsoku/>
        <w:overflowPunct/>
        <w:topLinePunct w:val="0"/>
        <w:bidi w:val="0"/>
        <w:spacing w:line="360" w:lineRule="auto"/>
        <w:rPr>
          <w:rFonts w:hint="eastAsia" w:ascii="宋体" w:hAnsi="宋体" w:eastAsia="宋体" w:cs="宋体"/>
          <w:color w:val="000000" w:themeColor="text1"/>
          <w:highlight w:val="none"/>
          <w14:textFill>
            <w14:solidFill>
              <w14:schemeClr w14:val="tx1"/>
            </w14:solidFill>
          </w14:textFill>
        </w:rPr>
      </w:pPr>
    </w:p>
    <w:p w14:paraId="394FAA1F">
      <w:pPr>
        <w:rPr>
          <w:color w:val="000000" w:themeColor="text1"/>
          <w14:textFill>
            <w14:solidFill>
              <w14:schemeClr w14:val="tx1"/>
            </w14:solidFill>
          </w14:textFill>
        </w:rPr>
      </w:pPr>
    </w:p>
    <w:p w14:paraId="2D4DDE9B">
      <w:pPr>
        <w:pStyle w:val="1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color w:val="000000" w:themeColor="text1"/>
          <w:lang w:val="en-US" w:eastAsia="zh-CN"/>
          <w14:textFill>
            <w14:solidFill>
              <w14:schemeClr w14:val="tx1"/>
            </w14:solidFill>
          </w14:textFill>
        </w:rPr>
      </w:pPr>
    </w:p>
    <w:p w14:paraId="371BF0A1">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9099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7818E">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437818E">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00197C1D"/>
    <w:rsid w:val="0215224A"/>
    <w:rsid w:val="08040049"/>
    <w:rsid w:val="0A0013DF"/>
    <w:rsid w:val="0F2B2467"/>
    <w:rsid w:val="112E0064"/>
    <w:rsid w:val="130E6B5D"/>
    <w:rsid w:val="13D91899"/>
    <w:rsid w:val="152652C9"/>
    <w:rsid w:val="158520E8"/>
    <w:rsid w:val="18443E6A"/>
    <w:rsid w:val="1B1F18BB"/>
    <w:rsid w:val="2766377C"/>
    <w:rsid w:val="28F904F4"/>
    <w:rsid w:val="29903CA9"/>
    <w:rsid w:val="2E00644A"/>
    <w:rsid w:val="33BE39C3"/>
    <w:rsid w:val="38395A7C"/>
    <w:rsid w:val="39C30294"/>
    <w:rsid w:val="41840764"/>
    <w:rsid w:val="46844C58"/>
    <w:rsid w:val="4E8D5131"/>
    <w:rsid w:val="51050658"/>
    <w:rsid w:val="5A1749C1"/>
    <w:rsid w:val="5D1070D9"/>
    <w:rsid w:val="5F780762"/>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eastAsia="宋体" w:cs="Times New Roman"/>
    </w:rPr>
  </w:style>
  <w:style w:type="paragraph" w:styleId="3">
    <w:name w:val="Body Text"/>
    <w:basedOn w:val="1"/>
    <w:qFormat/>
    <w:uiPriority w:val="0"/>
    <w:pPr>
      <w:spacing w:after="120"/>
    </w:pPr>
    <w:rPr>
      <w:rFonts w:ascii="Times New Roman" w:hAnsi="Times New Roman" w:eastAsia="宋体" w:cs="Times New Roman"/>
    </w:rPr>
  </w:style>
  <w:style w:type="paragraph" w:styleId="4">
    <w:name w:val="Body Text Indent"/>
    <w:basedOn w:val="1"/>
    <w:next w:val="5"/>
    <w:unhideWhenUsed/>
    <w:qFormat/>
    <w:uiPriority w:val="99"/>
    <w:pPr>
      <w:spacing w:after="120"/>
      <w:ind w:left="420" w:leftChars="200"/>
    </w:pPr>
  </w:style>
  <w:style w:type="paragraph" w:customStyle="1" w:styleId="5">
    <w:name w:val="Default"/>
    <w:next w:val="6"/>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
    <w:name w:val="大标题"/>
    <w:basedOn w:val="1"/>
    <w:next w:val="7"/>
    <w:qFormat/>
    <w:uiPriority w:val="0"/>
    <w:pPr>
      <w:jc w:val="center"/>
    </w:pPr>
    <w:rPr>
      <w:rFonts w:ascii="Arial" w:hAnsi="Arial" w:eastAsia="宋体" w:cs="Times New Roman"/>
      <w:b/>
      <w:sz w:val="28"/>
      <w:szCs w:val="24"/>
    </w:rPr>
  </w:style>
  <w:style w:type="paragraph" w:styleId="7">
    <w:name w:val="Body Text First Indent 2"/>
    <w:basedOn w:val="4"/>
    <w:next w:val="1"/>
    <w:unhideWhenUsed/>
    <w:qFormat/>
    <w:uiPriority w:val="99"/>
    <w:pPr>
      <w:ind w:firstLine="420" w:firstLine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rPr>
      <w:rFonts w:ascii="Times New Roman" w:hAnsi="Times New Roman" w:eastAsia="宋体" w:cs="Times New Roman"/>
    </w:rPr>
  </w:style>
  <w:style w:type="paragraph" w:styleId="11">
    <w:name w:val="Normal (Web)"/>
    <w:basedOn w:val="1"/>
    <w:qFormat/>
    <w:uiPriority w:val="0"/>
    <w:rPr>
      <w:rFonts w:ascii="Times New Roman" w:hAnsi="Times New Roman" w:eastAsia="宋体" w:cs="Times New Roman"/>
      <w:sz w:val="24"/>
    </w:rPr>
  </w:style>
  <w:style w:type="paragraph" w:customStyle="1" w:styleId="14">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 w:type="paragraph" w:customStyle="1" w:styleId="15">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2026-07-06T05:46:12Z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