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山东第一医科大学（山东省医学科学院）毕业论文（设计）管理系统服务购置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SDGP370000000202602005888</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山东天惠兴招标咨询有限公司</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山东天惠兴招标咨询有限公司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（以下简称“采购人”）委托，对</w:t>
      </w:r>
      <w:r>
        <w:rPr>
          <w:rFonts w:ascii="仿宋_GB2312" w:hAnsi="仿宋_GB2312" w:cs="仿宋_GB2312" w:eastAsia="仿宋_GB2312"/>
        </w:rPr>
        <w:t>山东第一医科大学（山东省医学科学院）毕业论文（设计）管理系统服务购置</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SDGP370000000202602005888</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山东第一医科大学（山东省医学科学院）毕业论文（设计）管理系统服务购置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本项目为山东第一医科大学（山东省医学科学院）毕业论文（设计）管理系统服务购置，投标人必须整包响应。</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p>
      <w:pPr>
        <w:pStyle w:val="null5"/>
        <w:jc w:val="left"/>
      </w:pPr>
      <w:r>
        <w:rPr>
          <w:rFonts w:ascii="仿宋_GB2312" w:hAnsi="仿宋_GB2312" w:cs="仿宋_GB2312" w:eastAsia="仿宋_GB2312"/>
        </w:rPr>
        <w:t>3、投标人须具有良好的商业信誉和健全的财务会计制度：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p>
      <w:pPr>
        <w:pStyle w:val="null5"/>
        <w:jc w:val="left"/>
      </w:pPr>
      <w:r>
        <w:rPr>
          <w:rFonts w:ascii="仿宋_GB2312" w:hAnsi="仿宋_GB2312" w:cs="仿宋_GB2312" w:eastAsia="仿宋_GB2312"/>
        </w:rPr>
        <w:t>4、投标人须具有依法缴纳税收和社会保障资金的良好记录：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5、投标人须具有履行合同所必需的设备和专业技术能力：附具备履行合同所必需设备和专业技术能力声明函。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6、近三年内（本项目投标文件递交截止日前）投标人在经营活动中没有重大违法记录：提供无重大违法记录声明函。</w:t>
      </w:r>
    </w:p>
    <w:p>
      <w:pPr>
        <w:pStyle w:val="null5"/>
        <w:jc w:val="left"/>
      </w:pPr>
      <w:r>
        <w:rPr>
          <w:rFonts w:ascii="仿宋_GB2312" w:hAnsi="仿宋_GB2312" w:cs="仿宋_GB2312" w:eastAsia="仿宋_GB2312"/>
        </w:rPr>
        <w:t>7、投标人无不良信用记录：在“信用中国”、“中国政府采购网”网站中未被列入“失信被执行人名单”、“重大税收违法失信主体”、“政府采购严重违法失信行为记录名单”</w:t>
      </w:r>
    </w:p>
    <w:p>
      <w:pPr>
        <w:pStyle w:val="null5"/>
        <w:jc w:val="left"/>
      </w:pPr>
      <w:r>
        <w:rPr>
          <w:rFonts w:ascii="仿宋_GB2312" w:hAnsi="仿宋_GB2312" w:cs="仿宋_GB2312" w:eastAsia="仿宋_GB2312"/>
        </w:rPr>
        <w:t>8、单位负责人为同一人或者存在直接控股、管理关系的不同供应商，不得参加同一合同项下（同一包号）的政府采购活动：投标人须提供书面声明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 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 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采购包1：210,000.00元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 xml:space="preserve"> 本项目政府采购合同履行期限以实际签订期限为准，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3个工作日内乙方向甲方指定账户缴纳合同金额5%的履约保证金（若乙方为中小企业，则该比例为2%）。履约保证金在验收合格后，没有任何质量问题，由乙方向甲方提交申请，甲方根据履约情况无息退还给乙方。2.履约保证金形式：电汇形式、银行汇票（投标人应在投标文件中明确具体递交形式）3.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自投标截止之日起90个日历日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代理服务费收费标准：中标人在领取中标通知书和签订合同前，按计价格【2002】1980号文件收费标准的70%向采购代理机构缴纳中标服务费。</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二、本招标文件由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一、“采购人”是指依法进行政府采购的国家机关、事业单位、团体组织。本次招标的采购人是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left"/>
        <w:outlineLvl w:val="2"/>
      </w:pPr>
      <w:r>
        <w:rPr>
          <w:rFonts w:ascii="仿宋_GB2312" w:hAnsi="仿宋_GB2312" w:cs="仿宋_GB2312" w:eastAsia="仿宋_GB2312"/>
          <w:sz w:val="28"/>
          <w:b/>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 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w:t>
      </w:r>
    </w:p>
    <w:p>
      <w:pPr>
        <w:pStyle w:val="null5"/>
        <w:ind w:firstLine="480"/>
        <w:jc w:val="both"/>
      </w:pPr>
      <w:r>
        <w:rPr>
          <w:rFonts w:ascii="仿宋_GB2312" w:hAnsi="仿宋_GB2312" w:cs="仿宋_GB2312" w:eastAsia="仿宋_GB2312"/>
        </w:rPr>
        <w:t>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服务完成且乙方向采购人发出项目验收建议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招标文件技术要求、投标文件响应及承诺内容等。</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招标文件商务要求、投标文件响应及承诺内容等。</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验收严格遵循相应标准，即乙方所提供的服务、交付的成果文件应完整、内容应满足相应要求。应符合采购文件及合同要求，响应文件及乙方在评审过程中做出的书面澄清及承诺，冲突之处执行最高标准。</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 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根据委托代理协议约定，投标人对招标文件中采购需求的询问、质疑由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负责答复；投标人对除采购需求外的招标文件的询问、质疑由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 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210,000.00</w:t>
      </w:r>
    </w:p>
    <w:p>
      <w:pPr>
        <w:pStyle w:val="null5"/>
        <w:jc w:val="left"/>
      </w:pPr>
      <w:r>
        <w:rPr>
          <w:rFonts w:ascii="仿宋_GB2312" w:hAnsi="仿宋_GB2312" w:cs="仿宋_GB2312" w:eastAsia="仿宋_GB2312"/>
        </w:rPr>
        <w:t>采购包最高限价（元）: 210,000.00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毕业论文（设计）管理系统服务</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210,000.00</w:t>
            </w:r>
          </w:p>
        </w:tc>
        <w:tc>
          <w:tcPr>
            <w:tcW w:type="dxa" w:w="923"/>
          </w:tcPr>
          <w:p>
            <w:pPr>
              <w:pStyle w:val="null5"/>
              <w:jc w:val="left"/>
            </w:pPr>
            <w:r>
              <w:rPr>
                <w:rFonts w:ascii="仿宋_GB2312" w:hAnsi="仿宋_GB2312" w:cs="仿宋_GB2312" w:eastAsia="仿宋_GB2312"/>
              </w:rPr>
              <w:t>软件和信息技术服务业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毕业论文（设计）管理系统服务</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210,000.00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毕业论文（设计）管理系统服务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毕业论文（设计）管理系统服务</w:t>
            </w:r>
          </w:p>
        </w:tc>
        <w:tc>
          <w:tcPr>
            <w:tcW w:type="dxa" w:w="2076"/>
          </w:tcPr>
          <w:p>
            <w:pPr>
              <w:pStyle w:val="null5"/>
              <w:jc w:val="left"/>
            </w:pPr>
            <w:r>
              <w:rPr>
                <w:rFonts w:ascii="仿宋_GB2312" w:hAnsi="仿宋_GB2312" w:cs="仿宋_GB2312" w:eastAsia="仿宋_GB2312"/>
              </w:rPr>
              <w:t>毕业论文（设计）管理系统服务</w:t>
            </w:r>
          </w:p>
        </w:tc>
        <w:tc>
          <w:tcPr>
            <w:tcW w:type="dxa" w:w="415"/>
          </w:tcPr>
          <w:p>
            <w:pPr>
              <w:pStyle w:val="null5"/>
              <w:jc w:val="left"/>
            </w:pPr>
            <w:r>
              <w:rPr>
                <w:rFonts w:ascii="仿宋_GB2312" w:hAnsi="仿宋_GB2312" w:cs="仿宋_GB2312" w:eastAsia="仿宋_GB2312"/>
              </w:rPr>
              <w:t>宗</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210,000.00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标的名称：毕业论文（设计）管理系统服务</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一、毕业论文管理服务（一）服务人数</w:t>
            </w:r>
          </w:p>
        </w:tc>
        <w:tc>
          <w:tcPr>
            <w:tcW w:type="dxa" w:w="2076"/>
          </w:tcPr>
          <w:p>
            <w:pPr>
              <w:pStyle w:val="null5"/>
              <w:jc w:val="left"/>
            </w:pPr>
            <w:r>
              <w:rPr>
                <w:rFonts w:ascii="仿宋_GB2312" w:hAnsi="仿宋_GB2312" w:cs="仿宋_GB2312" w:eastAsia="仿宋_GB2312"/>
              </w:rPr>
              <w:t>毕业论文管理服务，每届学生人数约4000人。</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1.1基础环境 （1）支持主流数据库，支持主流操作系统和多种服务器平台 （2）支持大规模文档解析和检测功能，在资源规模≥200万篇时选取高效的数据管理服务来保证系统响应时间 （3）支持主流浏览器工具</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1.2总体结构： 采用浏览器/服务器模式架构。</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1.3系统部署 （1）提供标准化互联网产品服务，采用云部署形式，提供千兆以上的局域网支持。 （2）不限制用户注册数。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1.4系统安全 （1）具备安全机制、安全策略和权限设置功能。 （2）建立视图机制，针对不同的用户，提供访问相应授权的视图权限，并设置多种访问控制策略。 （3）采用服务器分离部署机制。 （4）采用数据和文件的加密和解密机制。 （5）采用数据安全备份机制。</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一、毕业论文管理服务（二）技术服务要求1.质量管理服务技术要求</w:t>
            </w:r>
          </w:p>
        </w:tc>
        <w:tc>
          <w:tcPr>
            <w:tcW w:type="dxa" w:w="2076"/>
          </w:tcPr>
          <w:p>
            <w:pPr>
              <w:pStyle w:val="null5"/>
              <w:jc w:val="left"/>
            </w:pPr>
            <w:r>
              <w:rPr>
                <w:rFonts w:ascii="仿宋_GB2312" w:hAnsi="仿宋_GB2312" w:cs="仿宋_GB2312" w:eastAsia="仿宋_GB2312"/>
              </w:rPr>
              <w:t>1.5总体功能 （1）支持实现学生毕业论文（设计）完整流程的在线监控和管理工作，并提供： ①业务流程的选择项设置和启用与禁用； ②各类文档模板的自定义配置； ③各环节审核功能的自定义配置； ④设定对应的处理节点时间、人员或角色信息、操作权限等； ⑤完整的流程日志，并支持系统日志管理，实现对系统各项操作的监控。 （2）具备学术不端论文检测功能。 （3）具备学术诚信在线学习和教育平台功能。 （4）具备文献管理分析功能。 （5）支持历史数据的云端永久保存及导出。</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2.1用户管理 （1）管理员（院系管理员）可为全校（全院系）毕业生、教师自主创建账号。 （2）管理员可对“院系和专业”信息进行维护。 （3）管理员可对教师账号赋予以下角色：指导教师、专业负责人、教学秘书、院长、督导专家、评阅专家、答辩录入员、第二导师。 （4）管理员可设置专业负责人、教学秘书、督导专家负责的专业。 （5）管理员可设置督导专家管理的范围，提供“全校”“多院系”“单独院系”等不同范围。 （6）支持对角色名称进行自定义配置，在用户端展示配置的自定义角色名称。 （7）当前学年的二级学院院长、教学秘书、教研室主任等角色能查看以往学年学生和过程文档信息。 （8）二级学院管理员（教学秘书）可终止或暂停学生毕业论文（设计）并备注原因，学校管理员可统一导出被终止或暂停学生清单。</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2.2权限分级 （1）具有统一的用户及权限管理机制，能对系统进行权限管理。 （2）权限可以从具体人、具体部门、具体角色、具体安全级别等多个维度进行管控。 （3）提供分权管理机制，系统管理员可以分权给各院系、部门的管理人员。 （4）各级角色根据权限，可以对所在部门的流程、检测结果等进行管控。</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2.3系统设置 （1）管理员可自由设置学年，可设置工作流程中各模块的起止时间；可允许二级单位各自独立设置起止时间。 （2）管理员可进行业务流程相关多个项目的系统设置，包括但不限于：课题类型、课题来源、学生和教师申报课题权限、申报课题和选题数量限制、课题修改模式和权限、任务书审核模式和权限、指导记录提交权限、评审和成绩有关设置、评分权重、“盲评”设置；并支持二级单位对必要项目进行单独设置。 （3）管理员可设置学生检测次数、学生和教师查看检测结果的权限；可选择设置学生提交检测的时间范围要求，并可下放二级单位单独设置。</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2.4通知公告模块 （1）支持自定义设置通知公告显示名称。 （2）支持选择不同的通知公告显示模式。 （3）支持发布公告时可选发布范围。 （4）支持管理员选择二级单位发布的通知公告经审定后在系统首页显示。</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2.5师生双选模块 （1）支持以下四种形式的课题申报流程： ①盲选； ②指定学生； ③学生提交课题； ④管理人员分配课题。 （2）支持“单独课题”和“团队课题”类型。 （3）支持“草稿课题”功能。 （4）支持对课题进行修改、审核功能，并保留各个版本的历史记录。 （5）支持管理员和各角色教师对课题信息各版本文档进行查看。</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2.6任务书模块 （1）支持教师或学生提交任务书模式。 （2）支持审核或不审核任务书模式。 （3）支持对任务书进行修改、审核功能，并保留各个版本的历史记录。 （4）支持管理员和各角色教师对任务书各版本文档进行查看。</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2.7过程文档管理模块 （1）提供开题报告、中期报告、平时表现打分、指导记录、外文翻译和毕业论文（设计）六大过程文档功能模块。 （2）支持学生提交和修改各类过程文档，并保留历史记录。 （3）支持自定义配置各级审核。 （4）支持管理员和各角色教师对各类过程文档进行查看。</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2.8划词批注功能 （1）支持各角色对过程文档内容进行划词批注。 （2）保留各次批注内容信息和历史记录。 （3）支持毕业论文（设计）批注内容的导出。</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2.9评审答辩和成绩模块 （1）支持设置按全校、按院系、按专业、按课题类型设置评分权重。 （2）支持各类成绩配置和使用分项打分表。 （3）可选分数或等级模式显示成绩结果，并支持设置等级和分数的对应关系。 （4）可选设置成绩分数显示为整数或小数模式。 （5）支持多人评阅、盲评、交叉评阅等多种评审模式。 （6）支持一键安排、单独安排评阅人方式。 （7）支持安排多次答辩组并提供已安排答辩组信息的电子表格导出。 （8）支持在线安排、在线查看、在线评审、在线录入成绩功能。 （9）支持答辩组教师录入成绩或答辩录入员录入成绩。 （10）支持学生成绩的在线查看、修改和电子表格导出功能。</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2.10优秀推荐模块 （1）支持优秀论文管理功能，可区分院级、校级优秀论文。 （2）可对优秀论文进行分级分类，可分配专家线上进行优秀论文的评审打分。 （3）校级优秀论文可推送到系统首页展示。</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2.11工作检查模块 （1）提供前期、中期、后期等各环节的工作检查功能模块。 （2）提供工作总结功能模块。</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2.12信息统计模块 （1）支持多角度、全方位地信息统计，提供可视化图、表等多种展示方式。 （2）支持各项工作完成度和进度展示和提醒功能。 （3）支持各类统计信息的电子表格导出。 （4）提供年度统计报表。</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2.13文档导出模块 （1）支持自定义文档导出，包括但不限于以下文档类型：课题、任务书、开题报告、中期检查、指导记录、文献综述、导师评阅成绩表、评阅人评阅成绩表、答辩成绩表。 （2）管理员可设置导出权限及导出类型。 （3）支持配置的文档、学生提交的毕设（论文）和提交的附件多类文档的导出。 （4）支持毕业论文（设计）批注内容的导出。</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2.14学术不端检测 （1）支持多种检测模式。 （2）提供检测结果报告单和电子表格的导出和下载。 （3）支持检测次数和检测版本控制，支持校内互检，支持学校管理员抽检。</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一、毕业论文管理服务（二）技术服务要求2.质量管理功能要求</w:t>
            </w:r>
          </w:p>
        </w:tc>
        <w:tc>
          <w:tcPr>
            <w:tcW w:type="dxa" w:w="2076"/>
          </w:tcPr>
          <w:p>
            <w:pPr>
              <w:pStyle w:val="null5"/>
              <w:jc w:val="left"/>
            </w:pPr>
            <w:r>
              <w:rPr>
                <w:rFonts w:ascii="仿宋_GB2312" w:hAnsi="仿宋_GB2312" w:cs="仿宋_GB2312" w:eastAsia="仿宋_GB2312"/>
              </w:rPr>
              <w:t>2.15检测结果信息统计 （1）支持检测结果按不同复制比区间段统计。 （2）支持检测结果按年横向比较统计。</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3.1检测技术 （1）可检测抄袭行为，无漏检和错检。 （2）支持doc，docx，pdf，wps，rar，zip，CAJ格式等多种文档格式的识别和上传检测。 （3）支持中文、英文等多种语言文字的文献内容进行检测。 （4）支持跨语言检测，支持OCR识别图片文字检测。 （5）支持表格、公式自动抽取检测，并提供单独检测复制比。 （6）支持单篇最大重复文献的检测和结果单独展示。 （7）支持引用、非引用区分检测，对去除引用文献后的内容进行检测，并对结果单独展示。 （8）支持去除本人已发表文献的检测和结果单独展示。 （9）支持对敏感词进行检测分析和结果单独展示。 （10）基于《学术出版规范期刊学术不端行为界定》(CY/T174—2019）自动生成检测指标，包括疑似剽窃观点、过度引用、疑似整体剽窃和疑似剽窃文字表述等内容。 （11）提供文献溯源功能，帮助发现某一段文字的最早重合文献来源及历史重合文献来源。 （12）支持校内互检功能，帮助预防和发现校内学生间论文互相抄袭的情况。</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3.2比对库资源 3.2.1具有比对库，可直接下载资源（线上演示内容） 3.2.2用于论文相似度检测的文献资源均来源合法，可通过多种途径获取，确保文献资源的准确性和完整性。 3.2.3资源涵盖如下 （1）涵盖国内外主要期刊总量≥1亿篇。 （2）涵盖国内主要高校的硕博论文，实时总量≥190万篇。 （3）涵盖国内外学术会议论文，实时总量≥400万篇。 （4）涵盖国内外重要报纸全文，实时总量≥480万篇。 （5）涵盖中国专利数据库，实时总量近亿条。 包括互联网资源、图书资源等其他类型比对资源。</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3.3检测结果展示 （1）提供快速准确的检测结果查找和自动定位功能，可迅速定位到某段文字的对应检测结果。 （2）采用不同颜色区分标识方式，将重复内容、引用内容等进行区别标注，方便查找、查看。 （3）提供检测结果表格、检测结果网页展示、检测结果报告单等不同展示方式。 （4）支持不同种类检测结果的切换查看。 （5）提供多种类型报告单。</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一、毕业论文管理服务（二）技术服务要求3.学术不端检测技术和资源服务要求</w:t>
            </w:r>
          </w:p>
        </w:tc>
        <w:tc>
          <w:tcPr>
            <w:tcW w:type="dxa" w:w="2076"/>
          </w:tcPr>
          <w:p>
            <w:pPr>
              <w:pStyle w:val="null5"/>
              <w:jc w:val="left"/>
            </w:pPr>
            <w:r>
              <w:rPr>
                <w:rFonts w:ascii="仿宋_GB2312" w:hAnsi="仿宋_GB2312" w:cs="仿宋_GB2312" w:eastAsia="仿宋_GB2312"/>
              </w:rPr>
              <w:t>3.4检测次数 给予每届毕业生足量合规的复制比检测次数，且不以任何方式方法引导学生至服务商提供的学校三级检测域名或学校官网自费检测，学生如检测次数不足，需写说明经由学院审核后免费给学生提供额外的检测机会。</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一、毕业论文管理服务（二）技术服务要求4.版权及个人信息保护服务要求</w:t>
            </w:r>
          </w:p>
        </w:tc>
        <w:tc>
          <w:tcPr>
            <w:tcW w:type="dxa" w:w="2076"/>
          </w:tcPr>
          <w:p>
            <w:pPr>
              <w:pStyle w:val="null5"/>
              <w:jc w:val="left"/>
            </w:pPr>
            <w:r>
              <w:rPr>
                <w:rFonts w:ascii="仿宋_GB2312" w:hAnsi="仿宋_GB2312" w:cs="仿宋_GB2312" w:eastAsia="仿宋_GB2312"/>
              </w:rPr>
              <w:t>4.1系统应遵循合法、正当、必要的原则收集个人信息。仅收集与毕业论文管理工作直接相关的个人信息，如学生的姓名、学号、专业、年级、指导教师信息，教师的姓名、工号、所在院系、职称等。在收集个人信息前，应向信息主体明确告知收集的目的、方式、范围以及信息的使用和存储方式等，获得信息主体的明确同意。不得通过欺骗、误导等手段收集个人信息，不得收集与毕业论文管理无关的个人敏感信息。</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支持主流数据库，支持主流操作系统和多种服务器平台</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支持在文档解析功能模块运行时调用全文内容资源库，在资源规模达到百万级记录时采用高效的数据管理服务来保证系统响应时间</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二、论文送审服务（一）系统总体技术参数1.基础环境</w:t>
            </w:r>
          </w:p>
        </w:tc>
        <w:tc>
          <w:tcPr>
            <w:tcW w:type="dxa" w:w="2076"/>
          </w:tcPr>
          <w:p>
            <w:pPr>
              <w:pStyle w:val="null5"/>
              <w:jc w:val="left"/>
            </w:pPr>
            <w:r>
              <w:rPr>
                <w:rFonts w:ascii="仿宋_GB2312" w:hAnsi="仿宋_GB2312" w:cs="仿宋_GB2312" w:eastAsia="仿宋_GB2312"/>
              </w:rPr>
              <w:t>支持主流浏览器工具</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二、论文送审服务（一）系统总体技术参数2.总体结构</w:t>
            </w:r>
          </w:p>
        </w:tc>
        <w:tc>
          <w:tcPr>
            <w:tcW w:type="dxa" w:w="2076"/>
          </w:tcPr>
          <w:p>
            <w:pPr>
              <w:pStyle w:val="null5"/>
              <w:jc w:val="left"/>
            </w:pPr>
            <w:r>
              <w:rPr>
                <w:rFonts w:ascii="仿宋_GB2312" w:hAnsi="仿宋_GB2312" w:cs="仿宋_GB2312" w:eastAsia="仿宋_GB2312"/>
              </w:rPr>
              <w:t>采用浏览器/服务器模式架构</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二、论文送审服务（一）系统总体技术参数2.总体结构</w:t>
            </w:r>
          </w:p>
        </w:tc>
        <w:tc>
          <w:tcPr>
            <w:tcW w:type="dxa" w:w="2076"/>
          </w:tcPr>
          <w:p>
            <w:pPr>
              <w:pStyle w:val="null5"/>
              <w:jc w:val="left"/>
            </w:pPr>
            <w:r>
              <w:rPr>
                <w:rFonts w:ascii="仿宋_GB2312" w:hAnsi="仿宋_GB2312" w:cs="仿宋_GB2312" w:eastAsia="仿宋_GB2312"/>
              </w:rPr>
              <w:t>支持PC端、移动端</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二、论文送审服务（一）系统总体技术参数3.系统部署</w:t>
            </w:r>
          </w:p>
        </w:tc>
        <w:tc>
          <w:tcPr>
            <w:tcW w:type="dxa" w:w="2076"/>
          </w:tcPr>
          <w:p>
            <w:pPr>
              <w:pStyle w:val="null5"/>
              <w:jc w:val="left"/>
            </w:pPr>
            <w:r>
              <w:rPr>
                <w:rFonts w:ascii="仿宋_GB2312" w:hAnsi="仿宋_GB2312" w:cs="仿宋_GB2312" w:eastAsia="仿宋_GB2312"/>
              </w:rPr>
              <w:t>提供标准化互联网产品服务，采用云部署形式，提供千兆以上的局域网内支持</w:t>
            </w:r>
          </w:p>
        </w:tc>
      </w:tr>
      <w:tr>
        <w:tc>
          <w:tcPr>
            <w:tcW w:type="dxa" w:w="2076"/>
          </w:tcPr>
          <w:p>
            <w:pPr>
              <w:pStyle w:val="null5"/>
              <w:jc w:val="left"/>
            </w:pPr>
            <w:r>
              <w:rPr>
                <w:rFonts w:ascii="仿宋_GB2312" w:hAnsi="仿宋_GB2312" w:cs="仿宋_GB2312" w:eastAsia="仿宋_GB2312"/>
              </w:rPr>
              <w:t>33</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良好的安全机制和安全策略，严格合理的权限设置</w:t>
            </w:r>
          </w:p>
        </w:tc>
      </w:tr>
      <w:tr>
        <w:tc>
          <w:tcPr>
            <w:tcW w:type="dxa" w:w="2076"/>
          </w:tcPr>
          <w:p>
            <w:pPr>
              <w:pStyle w:val="null5"/>
              <w:jc w:val="left"/>
            </w:pPr>
            <w:r>
              <w:rPr>
                <w:rFonts w:ascii="仿宋_GB2312" w:hAnsi="仿宋_GB2312" w:cs="仿宋_GB2312" w:eastAsia="仿宋_GB2312"/>
              </w:rPr>
              <w:t>34</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建立视图机制，针对不同的用户，提供访问相应授权的视图权限，并设置多种访问控制策略</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采用服务器分离部署机制</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采用数据和文件的加密和解密机制</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二、论文送审服务（一）系统总体技术参数4.系统安全</w:t>
            </w:r>
          </w:p>
        </w:tc>
        <w:tc>
          <w:tcPr>
            <w:tcW w:type="dxa" w:w="2076"/>
          </w:tcPr>
          <w:p>
            <w:pPr>
              <w:pStyle w:val="null5"/>
              <w:jc w:val="left"/>
            </w:pPr>
            <w:r>
              <w:rPr>
                <w:rFonts w:ascii="仿宋_GB2312" w:hAnsi="仿宋_GB2312" w:cs="仿宋_GB2312" w:eastAsia="仿宋_GB2312"/>
              </w:rPr>
              <w:t>采用系统长期使用的大量数据安全备份机制</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二、论文送审服务（一）系统总体技术参数5.系统扩展性</w:t>
            </w:r>
          </w:p>
        </w:tc>
        <w:tc>
          <w:tcPr>
            <w:tcW w:type="dxa" w:w="2076"/>
          </w:tcPr>
          <w:p>
            <w:pPr>
              <w:pStyle w:val="null5"/>
              <w:jc w:val="left"/>
            </w:pPr>
            <w:r>
              <w:rPr>
                <w:rFonts w:ascii="仿宋_GB2312" w:hAnsi="仿宋_GB2312" w:cs="仿宋_GB2312" w:eastAsia="仿宋_GB2312"/>
              </w:rPr>
              <w:t>遵循严格科学的软件架构并采用国际最新的技术、规范和接口标准</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覆盖多种业务场景，支持毕业论文抽检、送审全过程管理。</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送审模式：抽取论文后由平台自动送审、机构自行组织送审到专家。</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支持按尾号、专业、成绩等随机进行论文抽取；支持按专业随机匹配专家。</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支持定制化评审成绩计算规则及二次送审策略。</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二、论文送审服务（一）系统总体技术参数6.总体功能</w:t>
            </w:r>
          </w:p>
        </w:tc>
        <w:tc>
          <w:tcPr>
            <w:tcW w:type="dxa" w:w="2076"/>
          </w:tcPr>
          <w:p>
            <w:pPr>
              <w:pStyle w:val="null5"/>
              <w:jc w:val="left"/>
            </w:pPr>
            <w:r>
              <w:rPr>
                <w:rFonts w:ascii="仿宋_GB2312" w:hAnsi="仿宋_GB2312" w:cs="仿宋_GB2312" w:eastAsia="仿宋_GB2312"/>
              </w:rPr>
              <w:t>构建送审自有专家库，支持分配库内共享专家。</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二、论文送审服务（一）系统总体技术参数7.专家资源</w:t>
            </w:r>
          </w:p>
        </w:tc>
        <w:tc>
          <w:tcPr>
            <w:tcW w:type="dxa" w:w="2076"/>
          </w:tcPr>
          <w:p>
            <w:pPr>
              <w:pStyle w:val="null5"/>
              <w:jc w:val="left"/>
            </w:pPr>
            <w:r>
              <w:rPr>
                <w:rFonts w:ascii="仿宋_GB2312" w:hAnsi="仿宋_GB2312" w:cs="仿宋_GB2312" w:eastAsia="仿宋_GB2312"/>
              </w:rPr>
              <w:t>投标人专家库名单不少于15万名。</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二、论文送审服务（二）系统功能技术参数1.送审管理1.1送审批次</w:t>
            </w:r>
          </w:p>
        </w:tc>
        <w:tc>
          <w:tcPr>
            <w:tcW w:type="dxa" w:w="2076"/>
          </w:tcPr>
          <w:p>
            <w:pPr>
              <w:pStyle w:val="null5"/>
              <w:jc w:val="left"/>
            </w:pPr>
            <w:r>
              <w:rPr>
                <w:rFonts w:ascii="仿宋_GB2312" w:hAnsi="仿宋_GB2312" w:cs="仿宋_GB2312" w:eastAsia="仿宋_GB2312"/>
              </w:rPr>
              <w:t>1.1.1支持新建送审批次，设置相应信息包括：批次名称、批次开始时间、评审截止时间、超时撤回时间（专家在此时间内未评阅则系统自动撤回论文）、评审专家要求（是否多人评审、是否允许专家查看去除本人复制比、专家职称要求）。 1.1.2支持修改评审批次信息，包括：批次名称、批次开始时间、评审截止时间、超时撤回时间。</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1.2.1待抽取名单 （1）支持批量上传论文到待抽取名单。 （2）支持毕设系统推送论文到待抽取名单。 （3）支持手动批量抽取论文：可进行全部抽取或选择部分抽取。 （4）一键随机抽取论文：支持根据照尾号、专业、成绩设置相应百分比进行随机抽取，或在所有待抽取名单中设置相应百分比进行随机抽取。 （5）支持导出全部或选中的待抽取名单，包括：学生姓名、学号、题目、学生院系、学生专业、去除本人文献复制比、论文来源字段。 （6）支持列表展示待抽取名单，包括：学生姓名、学号、题目、学生院系、学生专业、去除本人文献复制比、论文来源字段。 （7）待抽取名单支持按院系、专业、学生姓名、学号、题目、去除本人复制比区间进行筛选。</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1.2.2已抽取名单 （1）支持导出全部或选中的已抽取名单，包括：学生姓名、学号、题目、学生院系、学生专业、去除本人文献复制比字段。 （2）支持列表展示已抽取名单，包括：学生姓名、学号、题目、学生院系、学生专业、去除本人文献复制比字段。 （3）支持送审至专家：选择全部或部分论文送审到专家。 （4）待分配名单支持按院系、专业、学生姓名、学号、题目、去除本人复制比区间进行筛选。 （5）支持批量分配专家：选择全部或部分论文分配专家，可根据设置为每篇论文分配相应数量的专家。 （6）支持根据模板导入已分配好专家的名单，模板包括论文题目、学号、专家姓名、专家编号、专家手机号字段。 （7）支持随机分配专家：可灵活选择校内外专家，针对论文批量或单篇进行随机自动分配，依据专业代码，采用科学算法高效智能分配，极大提升分配效率。 （8）支持根据毕设最新论文版本批量同步更新待抽取列表中论文。 （9）支持已抽取论文批量退回。 （10）已分配名单支持按院系、专业、学生姓名、学号、题目、去除本人复制比区间进行筛选。 （11）支持列表展示已分配名单，包括学生姓名、学号、题目、所属院系、所属专业、去除本人文献复制比、专家评审（每位专家的评审成绩）、二次专家评审（二次评审每位专家的评审成绩）、评审结果（最终评审结果）字段。 （12）支持导出已分配名单，包括：学生姓名、学号、题目、所属院系、所属专业、去除本人文献复制比、专家评审（每位专家的评审成绩）、二次专家评审（二次评审每位专家的评审成绩）、评审结果（最终评审结果）字段。 （13）支持已分配论文重新分配专家。 （14）选择符合条件的论文进行二次送审（二次分配专家进行评审），可定制二次送审规则。 （15）支持通知已分配的专家进行论文评阅。 （16）支持已分配论文取消原有分配。</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二、论文送审服务（二）系统功能技术参数1.送审管理1.2抽取送审</w:t>
            </w:r>
          </w:p>
        </w:tc>
        <w:tc>
          <w:tcPr>
            <w:tcW w:type="dxa" w:w="2076"/>
          </w:tcPr>
          <w:p>
            <w:pPr>
              <w:pStyle w:val="null5"/>
              <w:jc w:val="left"/>
            </w:pPr>
            <w:r>
              <w:rPr>
                <w:rFonts w:ascii="仿宋_GB2312" w:hAnsi="仿宋_GB2312" w:cs="仿宋_GB2312" w:eastAsia="仿宋_GB2312"/>
              </w:rPr>
              <w:t>1.2.3送审结果 （1）送审结果支持按院系、专业、学生姓名、学号、送审批次、送审状态、题目、去除本人复制比区间进行筛选。 （2）支持列表展示送审名单，包括：学生姓名、学号、题目、所属院系、所属专业、去除本人文献复制比、送审批次、送审类型、评阅结果、专家评阅（每位专家评审成绩）、二次专家评阅字段。 （3）支持导出送审名单，包括：学生姓名、学号、题目、所属院系、所属专业、去除本人文献复制比、送审批次、评阅成绩（最终成绩）、专家评阅成绩（每位专家评审成绩）、二次送审专家评阅成绩字段。 （4）支持导出外审专家信息，包括：专家姓名、编号、专家类型、工作学校、职称、手机号码、邮箱、评审论文数量、评审论文题目字段。 （5）支持定制化配置评审模版，导出Word及Excel等格式的评审文档。</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二、论文送审服务（二）系统功能技术参数1.送审管理1.3送审批次</w:t>
            </w:r>
          </w:p>
        </w:tc>
        <w:tc>
          <w:tcPr>
            <w:tcW w:type="dxa" w:w="2076"/>
          </w:tcPr>
          <w:p>
            <w:pPr>
              <w:pStyle w:val="null5"/>
              <w:jc w:val="left"/>
            </w:pPr>
            <w:r>
              <w:rPr>
                <w:rFonts w:ascii="仿宋_GB2312" w:hAnsi="仿宋_GB2312" w:cs="仿宋_GB2312" w:eastAsia="仿宋_GB2312"/>
              </w:rPr>
              <w:t>（1）支持按照送审批次、送审任务、评审截止时间、送审时间对送审到专家的论文进行筛选。 （2）支持列表展示送审到专家的论文，包括：送审批次及任务、送审时间、评审截止时间、分配进度、评阅进度、送审论文数量字段。 （3）支持未分配专家的论文进行分配操作，已分配的论文查看评审详情。 （4）支持导出送审批次，包含：送审批次及任务、送审时间、评审截止时间、送审论文数量、分配进度、评阅进度。 （5）支持通知未评阅专家进行评阅。</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二、论文送审服务（二）系统功能技术参数2.角色管理</w:t>
            </w:r>
          </w:p>
        </w:tc>
        <w:tc>
          <w:tcPr>
            <w:tcW w:type="dxa" w:w="2076"/>
          </w:tcPr>
          <w:p>
            <w:pPr>
              <w:pStyle w:val="null5"/>
              <w:jc w:val="left"/>
            </w:pPr>
            <w:r>
              <w:rPr>
                <w:rFonts w:ascii="仿宋_GB2312" w:hAnsi="仿宋_GB2312" w:cs="仿宋_GB2312" w:eastAsia="仿宋_GB2312"/>
              </w:rPr>
              <w:t>2.1专家账号 支持按姓名、编号、专家类型、职称筛选专家。 支持单独新增、批量导入、导出专家信息。 支持修改专家信息。 支持删除评阅专家。</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二、论文送审服务（二）系统功能技术参数2.角色管理</w:t>
            </w:r>
          </w:p>
        </w:tc>
        <w:tc>
          <w:tcPr>
            <w:tcW w:type="dxa" w:w="2076"/>
          </w:tcPr>
          <w:p>
            <w:pPr>
              <w:pStyle w:val="null5"/>
              <w:jc w:val="left"/>
            </w:pPr>
            <w:r>
              <w:rPr>
                <w:rFonts w:ascii="仿宋_GB2312" w:hAnsi="仿宋_GB2312" w:cs="仿宋_GB2312" w:eastAsia="仿宋_GB2312"/>
              </w:rPr>
              <w:t>2.2管理员信息 支持按姓名、工号、用户名、角色筛选。 支持单独新增、批量导入、导出管理员信息。 支持修改管理员信息。 支持重置管理员密码。 支持删除管理员。</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3.1送审设置 可设置是否允许专家拒绝接审。 可设置每位专家最多评阅论文篇数。</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3.2绑定手机 支持账号绑定及修改手机号。</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二、论文送审服务（二）系统功能技术参数3.系统设置</w:t>
            </w:r>
          </w:p>
        </w:tc>
        <w:tc>
          <w:tcPr>
            <w:tcW w:type="dxa" w:w="2076"/>
          </w:tcPr>
          <w:p>
            <w:pPr>
              <w:pStyle w:val="null5"/>
              <w:jc w:val="left"/>
            </w:pPr>
            <w:r>
              <w:rPr>
                <w:rFonts w:ascii="仿宋_GB2312" w:hAnsi="仿宋_GB2312" w:cs="仿宋_GB2312" w:eastAsia="仿宋_GB2312"/>
              </w:rPr>
              <w:t>3.3通知日志 支持按照接收人、接收人工号、通知类型（邮件、短信）、状态（成功、失败、全部）进行筛选。 支持列表展示通知接收人、接收人工号、状态、类型、失败原因、发送时间。 支持查看发送成功通知的内容详情。 支持重新发送之前发送失败的通知信息。</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二、论文送审服务（二）系统功能技术参数4.专家库</w:t>
            </w:r>
          </w:p>
        </w:tc>
        <w:tc>
          <w:tcPr>
            <w:tcW w:type="dxa" w:w="2076"/>
          </w:tcPr>
          <w:p>
            <w:pPr>
              <w:pStyle w:val="null5"/>
              <w:jc w:val="left"/>
            </w:pPr>
            <w:r>
              <w:rPr>
                <w:rFonts w:ascii="仿宋_GB2312" w:hAnsi="仿宋_GB2312" w:cs="仿宋_GB2312" w:eastAsia="仿宋_GB2312"/>
              </w:rPr>
              <w:t>具有论文（设计）评审专家库，且专家库人数不少于15万名（线上演示内容）。</w:t>
            </w:r>
          </w:p>
        </w:tc>
      </w:tr>
      <w:tr>
        <w:tc>
          <w:tcPr>
            <w:tcW w:type="dxa" w:w="2076"/>
          </w:tcPr>
          <w:p>
            <w:pPr>
              <w:pStyle w:val="null5"/>
              <w:jc w:val="left"/>
            </w:pPr>
            <w:r>
              <w:rPr>
                <w:rFonts w:ascii="仿宋_GB2312" w:hAnsi="仿宋_GB2312" w:cs="仿宋_GB2312" w:eastAsia="仿宋_GB2312"/>
              </w:rPr>
              <w:t>56</w:t>
            </w:r>
          </w:p>
        </w:tc>
        <w:tc>
          <w:tcPr>
            <w:tcW w:type="dxa" w:w="2076"/>
          </w:tcPr>
          <w:p/>
        </w:tc>
        <w:tc>
          <w:tcPr>
            <w:tcW w:type="dxa" w:w="2076"/>
          </w:tcPr>
          <w:p>
            <w:pPr>
              <w:pStyle w:val="null5"/>
              <w:jc w:val="left"/>
            </w:pPr>
            <w:r>
              <w:rPr>
                <w:rFonts w:ascii="仿宋_GB2312" w:hAnsi="仿宋_GB2312" w:cs="仿宋_GB2312" w:eastAsia="仿宋_GB2312"/>
              </w:rPr>
              <w:t>三、平台安全要求</w:t>
            </w:r>
          </w:p>
        </w:tc>
        <w:tc>
          <w:tcPr>
            <w:tcW w:type="dxa" w:w="2076"/>
          </w:tcPr>
          <w:p>
            <w:pPr>
              <w:pStyle w:val="null5"/>
              <w:jc w:val="left"/>
            </w:pPr>
            <w:r>
              <w:rPr>
                <w:rFonts w:ascii="仿宋_GB2312" w:hAnsi="仿宋_GB2312" w:cs="仿宋_GB2312" w:eastAsia="仿宋_GB2312"/>
              </w:rPr>
              <w:t>项目为云上信息服务，涉及数据等个人信息安全等内容，需与采购人签订保密协议。 投标人需具备网络安全等级保护三级（等保2.0）备案及测评报告，提供有效期内的测评扫描件。 为保证服务使用的一致性，需要将服务入口与采购人信息门户对接。</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服务期:自合同签订之日起一年。服务期满项目验收合格且中标人履约服务满足合同约定标准的，后续年度考虑续签。</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服务地点:采购人指定地点。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付款方式：在合同签订生效且具备实施条件后，乙方向甲方项目负责人或指定人申请，达到付款条件起7个工作日内，支付合同总金额的30.00%。验收合格后，达到付款条件起7个工作日内，支付合同总金额的70.00%。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履约验收：1、本项目采购合同为甲方进行履约验收的主要依据。服务完成且合同履行达到验收条件时,乙方向采购人发出项目验收建议。甲方应及时对乙方提供的服务进行验收。甲方将专门成立履约验收小组，验收人员与采购人员相分离。验收小组应当认真履行项目验收职责，按照验收方案实施验收，确保项目验收意见客观真实反映合同履行情况。</w:t>
              <w:br/>
              <w:t>2、验收方案依据项目验收清单和标准、采购文件中对项目的技术和商务规定要求、乙方响应承诺情况、合同明确约定的要求等制定。</w:t>
              <w:br/>
              <w:t>3、验收严格遵循相应标准，即乙方所提供的服务、交付的成果文件应完整、内容应满足相应要求。应符合采购文件及合同要求，响应文件及乙方在评审过程中做出的书面澄清及承诺，冲突之处执行最高标准。</w:t>
              <w:br/>
              <w:t>4、验收小组将根据验收方案，对乙方所交付的成果按照采购文件、响应文件、采购合同进行逐一核对、验收,并做好验收记录，以书面形式作出结论性意见，经确认后形成项目验收书，并填报验收单和《履约验收书》办理验收后付款。</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本项目需进行演示。投标人通过交易系统进行不见面演示，需提前做好演示环境准备工作：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投标人须具有良好的商业信誉和健全的财务会计制度</w:t>
            </w:r>
          </w:p>
        </w:tc>
        <w:tc>
          <w:tcPr>
            <w:tcW w:type="dxa" w:w="3322"/>
          </w:tcPr>
          <w:p>
            <w:pPr>
              <w:pStyle w:val="null5"/>
              <w:jc w:val="left"/>
            </w:pPr>
            <w:r>
              <w:rPr>
                <w:rFonts w:ascii="仿宋_GB2312" w:hAnsi="仿宋_GB2312" w:cs="仿宋_GB2312" w:eastAsia="仿宋_GB2312"/>
              </w:rPr>
              <w:t>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近三年内（本项目投标文件递交截止日前）投标人在经营活动中没有重大违法记录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在“信用中国”、“中国政府采购网”网站中未被列入“失信被执行人名单”、“重大税收违法失信主体”、“政府采购严重违法失信行为记录名单”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投标人须提供书面声明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ind w:firstLine="480"/>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承诺函、项目负责人简历表、自觉抵制政府采购领域商业贿赂行为承诺书、技术评审文件、封面、拟投入项目人员一览表、业绩一览表、投标函、商务偏离表、其他材料、具有良好的商业信誉和健全的财务会计制度证明材料、供应商应提交的相关证明材料、法定代表人资格证明书或法定代表人授权委托书、监狱企业的证明文件、具备履行合同所必需设备和专业技术能力的声明函、中小企业声明函（服务）、技术偏离表、关于本国产品成本占比的承诺函（若有）、开标（报价）一览表、具有独立承担民事责任的能力证明文件、投标（响应）报价明细表、残疾人福利性单位声明函、单位负责人不为同一人或者不存在直接控股、管理关系的书面声明、关于符合本国产品标准的声明函（若有）、无重大违法记录声明函、依法缴纳税收和社会保障资金的相关证明材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按要求提供投标函、自觉抵制政府采购领域商业贿赂行为承诺书、承诺函。</w:t>
            </w:r>
          </w:p>
        </w:tc>
        <w:tc>
          <w:tcPr>
            <w:tcW w:type="dxa" w:w="1661"/>
          </w:tcPr>
          <w:p>
            <w:pPr>
              <w:pStyle w:val="null5"/>
              <w:jc w:val="left"/>
            </w:pPr>
            <w:r>
              <w:rPr>
                <w:rFonts w:ascii="仿宋_GB2312" w:hAnsi="仿宋_GB2312" w:cs="仿宋_GB2312" w:eastAsia="仿宋_GB2312"/>
              </w:rPr>
              <w:t>承诺函、投标函、自觉抵制政府采购领域商业贿赂行为承诺书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w:t>
            </w:r>
          </w:p>
        </w:tc>
        <w:tc>
          <w:tcPr>
            <w:tcW w:type="dxa" w:w="3322"/>
          </w:tcPr>
          <w:p>
            <w:pPr>
              <w:pStyle w:val="null5"/>
              <w:jc w:val="left"/>
            </w:pPr>
            <w:r>
              <w:rPr>
                <w:rFonts w:ascii="仿宋_GB2312" w:hAnsi="仿宋_GB2312" w:cs="仿宋_GB2312" w:eastAsia="仿宋_GB2312"/>
              </w:rPr>
              <w:t>投标有效期须满足投标人须知附表相应要求。</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满足招标文件中带“★”号的实质性条款要求，满足招标文件中规定的其他实质性要求。</w:t>
            </w:r>
          </w:p>
        </w:tc>
        <w:tc>
          <w:tcPr>
            <w:tcW w:type="dxa" w:w="1661"/>
          </w:tcPr>
          <w:p>
            <w:pPr>
              <w:pStyle w:val="null5"/>
              <w:jc w:val="left"/>
            </w:pPr>
            <w:r>
              <w:rPr>
                <w:rFonts w:ascii="仿宋_GB2312" w:hAnsi="仿宋_GB2312" w:cs="仿宋_GB2312" w:eastAsia="仿宋_GB2312"/>
              </w:rPr>
              <w:t>技术偏离表、商务偏离表、投标函、其他材料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分包规定</w:t>
            </w:r>
          </w:p>
        </w:tc>
        <w:tc>
          <w:tcPr>
            <w:tcW w:type="dxa" w:w="3322"/>
          </w:tcPr>
          <w:p>
            <w:pPr>
              <w:pStyle w:val="null5"/>
              <w:jc w:val="left"/>
            </w:pPr>
            <w:r>
              <w:rPr>
                <w:rFonts w:ascii="仿宋_GB2312" w:hAnsi="仿宋_GB2312" w:cs="仿宋_GB2312" w:eastAsia="仿宋_GB2312"/>
              </w:rPr>
              <w:t>符合招标文件中有关分包规定</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无附加条件</w:t>
            </w:r>
          </w:p>
        </w:tc>
        <w:tc>
          <w:tcPr>
            <w:tcW w:type="dxa" w:w="3322"/>
          </w:tcPr>
          <w:p>
            <w:pPr>
              <w:pStyle w:val="null5"/>
              <w:jc w:val="left"/>
            </w:pPr>
            <w:r>
              <w:rPr>
                <w:rFonts w:ascii="仿宋_GB2312" w:hAnsi="仿宋_GB2312" w:cs="仿宋_GB2312" w:eastAsia="仿宋_GB2312"/>
              </w:rPr>
              <w:t>投标文件不得含有采购人不能接受的附加条件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未出现招标文件规定的其他无效投标情形。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w:t>
      </w:r>
    </w:p>
    <w:p>
      <w:pPr>
        <w:pStyle w:val="null5"/>
        <w:ind w:firstLine="480"/>
        <w:jc w:val="both"/>
      </w:pPr>
      <w:r>
        <w:rPr>
          <w:rFonts w:ascii="仿宋_GB2312" w:hAnsi="仿宋_GB2312" w:cs="仿宋_GB2312" w:eastAsia="仿宋_GB2312"/>
        </w:rPr>
        <w:t>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 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 …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技术要求响应情况</w:t>
            </w:r>
          </w:p>
        </w:tc>
        <w:tc>
          <w:tcPr>
            <w:tcW w:type="dxa" w:w="2575"/>
          </w:tcPr>
          <w:p>
            <w:pPr>
              <w:pStyle w:val="null5"/>
              <w:jc w:val="left"/>
            </w:pPr>
            <w:r>
              <w:rPr>
                <w:rFonts w:ascii="仿宋_GB2312" w:hAnsi="仿宋_GB2312" w:cs="仿宋_GB2312" w:eastAsia="仿宋_GB2312"/>
              </w:rPr>
              <w:t>根据招标文件的技术要求，能够实质性响应招标文件技术要求的得基本分30分，参数指标每存在一项负偏离扣1分，扣完为止。</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演示</w:t>
            </w:r>
          </w:p>
        </w:tc>
        <w:tc>
          <w:tcPr>
            <w:tcW w:type="dxa" w:w="2575"/>
          </w:tcPr>
          <w:p>
            <w:pPr>
              <w:pStyle w:val="null5"/>
              <w:jc w:val="left"/>
            </w:pPr>
            <w:r>
              <w:rPr>
                <w:rFonts w:ascii="仿宋_GB2312" w:hAnsi="仿宋_GB2312" w:cs="仿宋_GB2312" w:eastAsia="仿宋_GB2312"/>
              </w:rPr>
              <w:t>投标人需进行线上演示，演示内容如下： （1）技术要求序号23中的“3.2.1具有比对库，可直接下载资源” （2）技术要求序号55中的“具有论文（设计）评审专家库，且专家库人数不少于15万名” 评标委员会针对投标人的演示情况进行综合评审，投标人每成功演示一项的得3分，本项满分6分。每出现一处不明确、不完善之处扣1分，扣完为止。注：1.演示时间不超过15分钟，仅提供PPT、静态页面、播放视频、图片和方案讲解类演示不得分，不演示不得分。2.本项目为远程线上演示，投标人应自行准备并提前调试设备，具备摄像头麦克风等基本演示环境。</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技术方案</w:t>
            </w:r>
          </w:p>
        </w:tc>
        <w:tc>
          <w:tcPr>
            <w:tcW w:type="dxa" w:w="2575"/>
          </w:tcPr>
          <w:p>
            <w:pPr>
              <w:pStyle w:val="null5"/>
              <w:jc w:val="left"/>
            </w:pPr>
            <w:r>
              <w:rPr>
                <w:rFonts w:ascii="仿宋_GB2312" w:hAnsi="仿宋_GB2312" w:cs="仿宋_GB2312" w:eastAsia="仿宋_GB2312"/>
              </w:rPr>
              <w:t>根据投标人针对本项目提供的技术方案进行综合评审，包括（1）需求及重难点分析、（2）技术架构及功能实现、（3）兼容及对接方案、（4）测试及运行维护方案四方面内容，每方面4分，本项满分16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实施方案</w:t>
            </w:r>
          </w:p>
        </w:tc>
        <w:tc>
          <w:tcPr>
            <w:tcW w:type="dxa" w:w="2575"/>
          </w:tcPr>
          <w:p>
            <w:pPr>
              <w:pStyle w:val="null5"/>
              <w:jc w:val="left"/>
            </w:pPr>
            <w:r>
              <w:rPr>
                <w:rFonts w:ascii="仿宋_GB2312" w:hAnsi="仿宋_GB2312" w:cs="仿宋_GB2312" w:eastAsia="仿宋_GB2312"/>
              </w:rPr>
              <w:t>根据投标人针对本项目提供的实施方案进行综合评审，包括（1）进度保障措施、（2）质量保障措施、（3）信息安全保障措施、（4）故障及应急预案四方面内容，每方面3分，本项满分12分。各方面内容详实完善、可行性高、针对性强、贴合并满足项目需要的得满分3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服务团队综合情况</w:t>
            </w:r>
          </w:p>
        </w:tc>
        <w:tc>
          <w:tcPr>
            <w:tcW w:type="dxa" w:w="2575"/>
          </w:tcPr>
          <w:p>
            <w:pPr>
              <w:pStyle w:val="null5"/>
              <w:jc w:val="left"/>
            </w:pPr>
            <w:r>
              <w:rPr>
                <w:rFonts w:ascii="仿宋_GB2312" w:hAnsi="仿宋_GB2312" w:cs="仿宋_GB2312" w:eastAsia="仿宋_GB2312"/>
              </w:rPr>
              <w:t>根据投标人针对本项目提供的服务团队综合情况进行综合评审，包括（1）团队整体架构及人员配备数量、（2）人员专业技术技能及资格证书、（3）人员从业经验三方面内容，每方面4分，本项满分12分。团队整体组织架构科学完善、拟投入人员的专业技术及服务能力优异、人员从业经验丰富的得满分4分，每有一处不合理、不完善的瑕疵纰漏之处的扣1分，扣完为止。须提供人员简历、专业技能及工作经验等证明材料，未按要求提供的不得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vMerge/>
          </w:tcPr>
          <w:p/>
        </w:tc>
        <w:tc>
          <w:tcPr>
            <w:tcW w:type="dxa" w:w="1661"/>
          </w:tcPr>
          <w:p>
            <w:pPr>
              <w:pStyle w:val="null5"/>
              <w:jc w:val="left"/>
            </w:pPr>
            <w:r>
              <w:rPr>
                <w:rFonts w:ascii="仿宋_GB2312" w:hAnsi="仿宋_GB2312" w:cs="仿宋_GB2312" w:eastAsia="仿宋_GB2312"/>
              </w:rPr>
              <w:t>售后服务方案</w:t>
            </w:r>
          </w:p>
        </w:tc>
        <w:tc>
          <w:tcPr>
            <w:tcW w:type="dxa" w:w="2575"/>
          </w:tcPr>
          <w:p>
            <w:pPr>
              <w:pStyle w:val="null5"/>
              <w:jc w:val="left"/>
            </w:pPr>
            <w:r>
              <w:rPr>
                <w:rFonts w:ascii="仿宋_GB2312" w:hAnsi="仿宋_GB2312" w:cs="仿宋_GB2312" w:eastAsia="仿宋_GB2312"/>
              </w:rPr>
              <w:t>根据投标人针对本项目提供的售后服务方案进行综合评审，包括但不限于（1）售后服务体系、（2）培训方案两方面内容，每方面4分，本项满分8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提供投标人自2023年7月1日至今的同类项目业绩，每提供一份得2分，最多6分。 注：时间以合同签订时间为准，提供完整合同原件扫描件，否则不得分。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（1）毕业论文（设计）管理系统服务响应报价低于全部通过符合性审查供应商响应报价平均值50%的，即毕业论文（设计）管理系统服务响应报价&lt;全部通过符合性审查供应商响应报价平均值×50%。 （2）毕业论文（设计）管理系统服务响应报价低于通过符合性审查且报价次低供应商响应报价50%的，即毕业论文（设计）管理系统服务响应报价&lt;通过符合性审查且报价次低供应商响应报价×50%。 （3）毕业论文（设计）管理系统服务响应报价低于最高限价45%的，即毕业论文（设计）管理系统服务响应报价&lt;最高限价×45%。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p>
            <w:pPr>
              <w:pStyle w:val="null5"/>
              <w:jc w:val="left"/>
            </w:pPr>
            <w:r>
              <w:rPr>
                <w:rFonts w:ascii="仿宋_GB2312" w:hAnsi="仿宋_GB2312" w:cs="仿宋_GB2312" w:eastAsia="仿宋_GB2312"/>
              </w:rPr>
              <w:t>开标（报价）一览表</w:t>
            </w:r>
          </w:p>
          <w:p>
            <w:pPr>
              <w:pStyle w:val="null5"/>
              <w:jc w:val="left"/>
            </w:pPr>
            <w:r>
              <w:rPr>
                <w:rFonts w:ascii="仿宋_GB2312" w:hAnsi="仿宋_GB2312" w:cs="仿宋_GB2312" w:eastAsia="仿宋_GB2312"/>
              </w:rPr>
              <w:t>中小企业声明函（服务）</w:t>
            </w:r>
          </w:p>
          <w:p>
            <w:pPr>
              <w:pStyle w:val="null5"/>
              <w:jc w:val="left"/>
            </w:pPr>
            <w:r>
              <w:rPr>
                <w:rFonts w:ascii="仿宋_GB2312" w:hAnsi="仿宋_GB2312" w:cs="仿宋_GB2312" w:eastAsia="仿宋_GB2312"/>
              </w:rPr>
              <w:t>残疾人福利性单位声明函</w:t>
            </w:r>
          </w:p>
          <w:p>
            <w:pPr>
              <w:pStyle w:val="null5"/>
              <w:jc w:val="left"/>
            </w:pPr>
            <w:r>
              <w:rPr>
                <w:rFonts w:ascii="仿宋_GB2312" w:hAnsi="仿宋_GB2312" w:cs="仿宋_GB2312" w:eastAsia="仿宋_GB2312"/>
              </w:rPr>
              <w:t>监狱企业的证明文件</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（1）毕业论文（设计）管理系统服务响应报价低于全部通过符合性审查供应商响应报价平均值50%的，即毕业论文（设计）管理系统服务响应报价&lt;全部通过符合性审查供应商响应报价平均值×50%。</w:t>
              <w:br/>
              <w:t>（2）毕业论文（设计）管理系统服务响应报价低于通过符合性审查且报价次低供应商响应报价50%的，即毕业论文（设计）管理系统服务响应报价&lt;通过符合性审查且报价次低供应商响应报价×50%。</w:t>
              <w:br/>
              <w:t>（3）毕业论文（设计）管理系统服务响应报价低于最高限价45%的，即毕业论文（设计）管理系统服务响应报价&lt;最高限价×45%。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详见附件：承诺函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详见附件：技术评审文件</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