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79315">
      <w:pPr>
        <w:spacing w:line="360" w:lineRule="auto"/>
        <w:rPr>
          <w:rFonts w:ascii="仿宋" w:hAnsi="仿宋" w:eastAsia="仿宋" w:cs="仿宋"/>
          <w:b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0"/>
          <w:highlight w:val="none"/>
        </w:rPr>
        <w:t>提供近两年度任意一年审计报告（必须含四表一注）或在投标截止时间前三个月内银行出具的证明文件</w:t>
      </w:r>
    </w:p>
    <w:p w14:paraId="50662EDF">
      <w:pPr>
        <w:tabs>
          <w:tab w:val="left" w:pos="5580"/>
        </w:tabs>
        <w:spacing w:line="360" w:lineRule="auto"/>
        <w:ind w:left="1080" w:leftChars="257" w:hanging="54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4FF4CFAE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1.如提供本单位近两年度任意一年审计报告（必须含四表一注）复印件，须加盖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本单位公章。</w:t>
      </w:r>
    </w:p>
    <w:p w14:paraId="2B536B9A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2.如提供银行出具的证明文件。银行证明文件可提供原件，也可提供银行在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0"/>
          <w:highlight w:val="none"/>
        </w:rPr>
        <w:t>投标截止时间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前三个月内开具证明文件的复印件。若提供的是复印件，采购人或采购代理机构保留审核原件的权利。银行出具的证明文件应能说明该供应商与银行之间业务往来正常，企业信誉良好等。</w:t>
      </w:r>
    </w:p>
    <w:p w14:paraId="482CFCBE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3.如果是联合体响应文件，联合体各方均需提供上述证明。</w:t>
      </w:r>
    </w:p>
    <w:p w14:paraId="02D956D5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4.如采用合格的投标担保函的，可提供投标担保函复印件替代。</w:t>
      </w:r>
    </w:p>
    <w:p w14:paraId="19BE24DF">
      <w:pPr>
        <w:tabs>
          <w:tab w:val="left" w:pos="5580"/>
        </w:tabs>
        <w:spacing w:line="360" w:lineRule="auto"/>
        <w:ind w:firstLine="480" w:firstLineChars="200"/>
        <w:rPr>
          <w:rFonts w:ascii="仿宋" w:hAnsi="仿宋" w:eastAsia="仿宋" w:cs="仿宋"/>
          <w:b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5.供应商是自然人的，应提供银行出具的针对本项目资信证明。</w:t>
      </w:r>
      <w:bookmarkStart w:id="0" w:name="_Toc99722685"/>
      <w:bookmarkStart w:id="1" w:name="_Toc46235135"/>
      <w:bookmarkStart w:id="2" w:name="_Toc19414"/>
    </w:p>
    <w:bookmarkEnd w:id="0"/>
    <w:bookmarkEnd w:id="1"/>
    <w:bookmarkEnd w:id="2"/>
    <w:p w14:paraId="64E658A1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2E215715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