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E29141">
      <w:pPr>
        <w:widowControl/>
        <w:spacing w:line="360" w:lineRule="exact"/>
        <w:jc w:val="center"/>
        <w:rPr>
          <w:rFonts w:ascii="方正小标宋简体" w:hAnsi="方正小标宋简体" w:eastAsia="方正小标宋简体" w:cs="方正小标宋简体"/>
          <w:color w:val="000000"/>
          <w:kern w:val="0"/>
          <w:sz w:val="28"/>
          <w:szCs w:val="28"/>
          <w:lang w:bidi="ar"/>
        </w:rPr>
      </w:pPr>
    </w:p>
    <w:p w14:paraId="265310DB">
      <w:pPr>
        <w:widowControl/>
        <w:spacing w:line="360" w:lineRule="exact"/>
        <w:jc w:val="center"/>
        <w:rPr>
          <w:rFonts w:ascii="方正小标宋简体" w:hAnsi="方正小标宋简体" w:eastAsia="方正小标宋简体" w:cs="方正小标宋简体"/>
          <w:color w:val="000000"/>
          <w:kern w:val="0"/>
          <w:sz w:val="28"/>
          <w:szCs w:val="28"/>
          <w:lang w:bidi="ar"/>
        </w:rPr>
      </w:pPr>
      <w:r>
        <w:rPr>
          <w:rFonts w:hint="eastAsia" w:ascii="方正小标宋简体" w:hAnsi="方正小标宋简体" w:eastAsia="方正小标宋简体" w:cs="方正小标宋简体"/>
          <w:color w:val="000000"/>
          <w:kern w:val="0"/>
          <w:sz w:val="28"/>
          <w:szCs w:val="28"/>
          <w:lang w:bidi="ar"/>
        </w:rPr>
        <w:t>山东第一医科大学（山东省医学科学院）</w:t>
      </w:r>
    </w:p>
    <w:p w14:paraId="1171E97E">
      <w:pPr>
        <w:widowControl/>
        <w:spacing w:line="360" w:lineRule="exact"/>
        <w:jc w:val="center"/>
        <w:rPr>
          <w:rFonts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color w:val="000000"/>
          <w:kern w:val="0"/>
          <w:sz w:val="28"/>
          <w:szCs w:val="28"/>
          <w:lang w:bidi="ar"/>
        </w:rPr>
        <w:t>小额零星采购合同（服务类模板）</w:t>
      </w:r>
    </w:p>
    <w:p w14:paraId="7CD84313">
      <w:pPr>
        <w:widowControl/>
        <w:ind w:firstLine="480" w:firstLineChars="200"/>
        <w:jc w:val="left"/>
        <w:rPr>
          <w:rFonts w:ascii="仿宋_GB2312" w:hAnsi="仿宋_GB2312" w:eastAsia="仿宋_GB2312" w:cs="仿宋_GB2312"/>
          <w:color w:val="000000"/>
          <w:kern w:val="0"/>
          <w:sz w:val="24"/>
          <w:lang w:bidi="ar"/>
        </w:rPr>
      </w:pPr>
    </w:p>
    <w:p w14:paraId="22DC6CFE">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合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同 编 号： ZBB2026001</w:t>
      </w:r>
    </w:p>
    <w:p w14:paraId="4CFBDE7A">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项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目 名 称： 采购项目档案整理加工归档服务合同</w:t>
      </w:r>
    </w:p>
    <w:p w14:paraId="3733D4F3">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甲方（采购人）：山东第一医科大学</w:t>
      </w:r>
    </w:p>
    <w:p w14:paraId="35A0606F">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乙方（供应商）：山东怡鲁科技有限公司 </w:t>
      </w:r>
    </w:p>
    <w:p w14:paraId="4B0098EA">
      <w:pPr>
        <w:widowControl/>
        <w:spacing w:line="400" w:lineRule="exact"/>
        <w:ind w:firstLine="480" w:firstLineChars="200"/>
        <w:jc w:val="left"/>
        <w:rPr>
          <w:rFonts w:ascii="仿宋_GB2312" w:hAnsi="仿宋_GB2312" w:eastAsia="仿宋_GB2312" w:cs="仿宋_GB2312"/>
          <w:color w:val="000000"/>
          <w:kern w:val="0"/>
          <w:sz w:val="24"/>
          <w:lang w:bidi="ar"/>
        </w:rPr>
      </w:pPr>
    </w:p>
    <w:p w14:paraId="5FD8E0CC">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（甲方）所需</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（项目名称）以</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方式进行采购。经甲方确定</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（乙方）为成交供应商。甲、乙双方根据《中华人民共和国民法典》等相关法律法规规定，经平等协商达成如下协议：</w:t>
      </w:r>
    </w:p>
    <w:p w14:paraId="542D207D">
      <w:pPr>
        <w:numPr>
          <w:ilvl w:val="0"/>
          <w:numId w:val="1"/>
        </w:num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项目概况</w:t>
      </w:r>
    </w:p>
    <w:p w14:paraId="658803EB">
      <w:pPr>
        <w:numPr>
          <w:ilvl w:val="255"/>
          <w:numId w:val="0"/>
        </w:num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1.服务项目名称及内容</w:t>
      </w:r>
      <w:bookmarkStart w:id="0" w:name="_GoBack"/>
      <w:bookmarkEnd w:id="0"/>
    </w:p>
    <w:tbl>
      <w:tblPr>
        <w:tblStyle w:val="5"/>
        <w:tblpPr w:leftFromText="180" w:rightFromText="180" w:vertAnchor="text" w:horzAnchor="page" w:tblpX="1890" w:tblpY="130"/>
        <w:tblOverlap w:val="never"/>
        <w:tblW w:w="48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4838"/>
        <w:gridCol w:w="996"/>
        <w:gridCol w:w="769"/>
        <w:gridCol w:w="1022"/>
      </w:tblGrid>
      <w:tr w14:paraId="77ED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97" w:type="pct"/>
            <w:vAlign w:val="center"/>
          </w:tcPr>
          <w:p w14:paraId="79907DCD">
            <w:pPr>
              <w:spacing w:line="300" w:lineRule="exact"/>
              <w:jc w:val="center"/>
              <w:rPr>
                <w:rFonts w:ascii="黑体" w:hAnsi="黑体" w:eastAsia="黑体" w:cs="仿宋_GB2312"/>
                <w:spacing w:val="-2"/>
                <w:kern w:val="0"/>
                <w:sz w:val="20"/>
              </w:rPr>
            </w:pPr>
            <w:r>
              <w:rPr>
                <w:rFonts w:hint="eastAsia" w:ascii="黑体" w:hAnsi="黑体" w:eastAsia="黑体" w:cs="仿宋_GB2312"/>
                <w:spacing w:val="-2"/>
                <w:kern w:val="0"/>
                <w:sz w:val="20"/>
              </w:rPr>
              <w:t>序号</w:t>
            </w:r>
          </w:p>
        </w:tc>
        <w:tc>
          <w:tcPr>
            <w:tcW w:w="2920" w:type="pct"/>
            <w:vAlign w:val="center"/>
          </w:tcPr>
          <w:p w14:paraId="08122B8D">
            <w:pPr>
              <w:spacing w:line="300" w:lineRule="exact"/>
              <w:jc w:val="center"/>
              <w:rPr>
                <w:rFonts w:ascii="黑体" w:hAnsi="黑体" w:eastAsia="黑体" w:cs="仿宋_GB2312"/>
                <w:spacing w:val="-2"/>
                <w:kern w:val="0"/>
                <w:sz w:val="20"/>
              </w:rPr>
            </w:pPr>
            <w:r>
              <w:rPr>
                <w:rFonts w:hint="eastAsia" w:ascii="黑体" w:hAnsi="黑体" w:eastAsia="黑体" w:cs="仿宋_GB2312"/>
                <w:spacing w:val="-2"/>
                <w:kern w:val="0"/>
                <w:sz w:val="20"/>
              </w:rPr>
              <w:t>服务名称</w:t>
            </w:r>
          </w:p>
        </w:tc>
        <w:tc>
          <w:tcPr>
            <w:tcW w:w="600" w:type="pct"/>
            <w:vAlign w:val="center"/>
          </w:tcPr>
          <w:p w14:paraId="30BB3618">
            <w:pPr>
              <w:spacing w:line="300" w:lineRule="exact"/>
              <w:jc w:val="center"/>
              <w:rPr>
                <w:rFonts w:ascii="黑体" w:hAnsi="黑体" w:eastAsia="黑体" w:cs="仿宋_GB2312"/>
                <w:spacing w:val="-2"/>
                <w:kern w:val="0"/>
                <w:sz w:val="20"/>
              </w:rPr>
            </w:pPr>
            <w:r>
              <w:rPr>
                <w:rFonts w:hint="eastAsia" w:ascii="黑体" w:hAnsi="黑体" w:eastAsia="黑体" w:cs="仿宋_GB2312"/>
                <w:spacing w:val="-2"/>
                <w:kern w:val="0"/>
                <w:sz w:val="20"/>
              </w:rPr>
              <w:t>数量</w:t>
            </w:r>
          </w:p>
        </w:tc>
        <w:tc>
          <w:tcPr>
            <w:tcW w:w="464" w:type="pct"/>
            <w:vAlign w:val="center"/>
          </w:tcPr>
          <w:p w14:paraId="11771C90">
            <w:pPr>
              <w:spacing w:line="300" w:lineRule="exact"/>
              <w:jc w:val="center"/>
              <w:rPr>
                <w:rFonts w:ascii="黑体" w:hAnsi="黑体" w:eastAsia="黑体" w:cs="仿宋_GB2312"/>
                <w:spacing w:val="-2"/>
                <w:kern w:val="0"/>
                <w:sz w:val="20"/>
              </w:rPr>
            </w:pPr>
            <w:r>
              <w:rPr>
                <w:rFonts w:hint="eastAsia" w:ascii="黑体" w:hAnsi="黑体" w:eastAsia="黑体" w:cs="仿宋_GB2312"/>
                <w:spacing w:val="-2"/>
                <w:kern w:val="0"/>
                <w:sz w:val="20"/>
              </w:rPr>
              <w:t>单价</w:t>
            </w:r>
          </w:p>
        </w:tc>
        <w:tc>
          <w:tcPr>
            <w:tcW w:w="617" w:type="pct"/>
            <w:vAlign w:val="center"/>
          </w:tcPr>
          <w:p w14:paraId="669F4122">
            <w:pPr>
              <w:spacing w:line="300" w:lineRule="exact"/>
              <w:jc w:val="center"/>
              <w:rPr>
                <w:rFonts w:ascii="黑体" w:hAnsi="黑体" w:eastAsia="黑体" w:cs="仿宋_GB2312"/>
                <w:spacing w:val="-2"/>
                <w:kern w:val="0"/>
                <w:sz w:val="20"/>
              </w:rPr>
            </w:pPr>
            <w:r>
              <w:rPr>
                <w:rFonts w:hint="eastAsia" w:ascii="黑体" w:hAnsi="黑体" w:eastAsia="黑体" w:cs="仿宋_GB2312"/>
                <w:spacing w:val="-2"/>
                <w:kern w:val="0"/>
                <w:sz w:val="20"/>
              </w:rPr>
              <w:t>合计</w:t>
            </w:r>
          </w:p>
        </w:tc>
      </w:tr>
      <w:tr w14:paraId="6BD5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97" w:type="pct"/>
            <w:vAlign w:val="center"/>
          </w:tcPr>
          <w:p w14:paraId="4A633010">
            <w:pPr>
              <w:spacing w:line="300" w:lineRule="exact"/>
              <w:jc w:val="center"/>
              <w:rPr>
                <w:rFonts w:ascii="仿宋_GB2312" w:hAnsi="仿宋_GB2312" w:eastAsia="仿宋_GB2312" w:cs="仿宋_GB2312"/>
                <w:spacing w:val="-2"/>
                <w:kern w:val="0"/>
                <w:sz w:val="20"/>
                <w:szCs w:val="21"/>
              </w:rPr>
            </w:pPr>
            <w:r>
              <w:rPr>
                <w:rFonts w:hint="eastAsia" w:ascii="仿宋_GB2312" w:hAnsi="仿宋_GB2312" w:eastAsia="仿宋_GB2312" w:cs="仿宋_GB2312"/>
                <w:spacing w:val="-2"/>
                <w:kern w:val="0"/>
                <w:sz w:val="20"/>
                <w:szCs w:val="21"/>
              </w:rPr>
              <w:t>1</w:t>
            </w:r>
          </w:p>
        </w:tc>
        <w:tc>
          <w:tcPr>
            <w:tcW w:w="2920" w:type="pct"/>
            <w:vAlign w:val="center"/>
          </w:tcPr>
          <w:p w14:paraId="09340DE5">
            <w:pPr>
              <w:spacing w:line="300" w:lineRule="exact"/>
              <w:jc w:val="center"/>
              <w:rPr>
                <w:rFonts w:ascii="仿宋_GB2312" w:hAnsi="仿宋_GB2312" w:eastAsia="仿宋_GB2312" w:cs="仿宋_GB2312"/>
                <w:spacing w:val="-2"/>
                <w:kern w:val="0"/>
                <w:sz w:val="20"/>
                <w:szCs w:val="21"/>
              </w:rPr>
            </w:pPr>
          </w:p>
        </w:tc>
        <w:tc>
          <w:tcPr>
            <w:tcW w:w="600" w:type="pct"/>
            <w:vAlign w:val="center"/>
          </w:tcPr>
          <w:p w14:paraId="1F6C4EFB">
            <w:pPr>
              <w:spacing w:line="300" w:lineRule="exact"/>
              <w:jc w:val="center"/>
              <w:rPr>
                <w:rFonts w:ascii="仿宋_GB2312" w:hAnsi="仿宋_GB2312" w:eastAsia="仿宋_GB2312" w:cs="仿宋_GB2312"/>
                <w:spacing w:val="-2"/>
                <w:kern w:val="0"/>
                <w:sz w:val="20"/>
                <w:szCs w:val="21"/>
              </w:rPr>
            </w:pPr>
          </w:p>
        </w:tc>
        <w:tc>
          <w:tcPr>
            <w:tcW w:w="464" w:type="pct"/>
            <w:vAlign w:val="center"/>
          </w:tcPr>
          <w:p w14:paraId="5F43FB44">
            <w:pPr>
              <w:spacing w:line="300" w:lineRule="exact"/>
              <w:jc w:val="center"/>
              <w:rPr>
                <w:rFonts w:ascii="仿宋_GB2312" w:hAnsi="仿宋_GB2312" w:eastAsia="仿宋_GB2312" w:cs="仿宋_GB2312"/>
                <w:spacing w:val="-2"/>
                <w:kern w:val="0"/>
                <w:sz w:val="20"/>
                <w:szCs w:val="21"/>
              </w:rPr>
            </w:pPr>
          </w:p>
        </w:tc>
        <w:tc>
          <w:tcPr>
            <w:tcW w:w="617" w:type="pct"/>
            <w:vAlign w:val="center"/>
          </w:tcPr>
          <w:p w14:paraId="26CE5099">
            <w:pPr>
              <w:spacing w:line="300" w:lineRule="exact"/>
              <w:jc w:val="center"/>
              <w:rPr>
                <w:rFonts w:ascii="仿宋_GB2312" w:hAnsi="仿宋_GB2312" w:eastAsia="仿宋_GB2312" w:cs="仿宋_GB2312"/>
                <w:kern w:val="0"/>
                <w:sz w:val="20"/>
                <w:szCs w:val="21"/>
              </w:rPr>
            </w:pPr>
          </w:p>
        </w:tc>
      </w:tr>
      <w:tr w14:paraId="1310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97" w:type="pct"/>
            <w:vAlign w:val="center"/>
          </w:tcPr>
          <w:p w14:paraId="53128BF5">
            <w:pPr>
              <w:spacing w:line="300" w:lineRule="exact"/>
              <w:jc w:val="center"/>
              <w:rPr>
                <w:rFonts w:ascii="仿宋_GB2312" w:hAnsi="仿宋_GB2312" w:eastAsia="仿宋_GB2312" w:cs="仿宋_GB2312"/>
                <w:spacing w:val="-2"/>
                <w:kern w:val="0"/>
                <w:sz w:val="20"/>
                <w:szCs w:val="21"/>
              </w:rPr>
            </w:pPr>
            <w:r>
              <w:rPr>
                <w:rFonts w:hint="eastAsia" w:ascii="仿宋_GB2312" w:hAnsi="仿宋_GB2312" w:eastAsia="仿宋_GB2312" w:cs="仿宋_GB2312"/>
                <w:spacing w:val="-2"/>
                <w:kern w:val="0"/>
                <w:sz w:val="20"/>
                <w:szCs w:val="21"/>
              </w:rPr>
              <w:t>2</w:t>
            </w:r>
          </w:p>
        </w:tc>
        <w:tc>
          <w:tcPr>
            <w:tcW w:w="2920" w:type="pct"/>
            <w:vAlign w:val="center"/>
          </w:tcPr>
          <w:p w14:paraId="5F7C1C85">
            <w:pPr>
              <w:spacing w:line="300" w:lineRule="exact"/>
              <w:jc w:val="center"/>
              <w:rPr>
                <w:rFonts w:ascii="仿宋_GB2312" w:hAnsi="仿宋_GB2312" w:eastAsia="仿宋_GB2312" w:cs="仿宋_GB2312"/>
                <w:spacing w:val="-2"/>
                <w:kern w:val="0"/>
                <w:sz w:val="20"/>
                <w:szCs w:val="21"/>
              </w:rPr>
            </w:pPr>
          </w:p>
        </w:tc>
        <w:tc>
          <w:tcPr>
            <w:tcW w:w="600" w:type="pct"/>
            <w:vAlign w:val="center"/>
          </w:tcPr>
          <w:p w14:paraId="6E0C55BF">
            <w:pPr>
              <w:spacing w:line="300" w:lineRule="exact"/>
              <w:jc w:val="center"/>
              <w:rPr>
                <w:rFonts w:ascii="仿宋_GB2312" w:hAnsi="仿宋_GB2312" w:eastAsia="仿宋_GB2312" w:cs="仿宋_GB2312"/>
                <w:spacing w:val="-2"/>
                <w:kern w:val="0"/>
                <w:sz w:val="20"/>
                <w:szCs w:val="21"/>
              </w:rPr>
            </w:pPr>
          </w:p>
        </w:tc>
        <w:tc>
          <w:tcPr>
            <w:tcW w:w="464" w:type="pct"/>
            <w:vAlign w:val="center"/>
          </w:tcPr>
          <w:p w14:paraId="1C8CC7D0">
            <w:pPr>
              <w:spacing w:line="300" w:lineRule="exact"/>
              <w:jc w:val="center"/>
              <w:rPr>
                <w:rFonts w:ascii="仿宋_GB2312" w:hAnsi="仿宋_GB2312" w:eastAsia="仿宋_GB2312" w:cs="仿宋_GB2312"/>
                <w:spacing w:val="-2"/>
                <w:kern w:val="0"/>
                <w:sz w:val="20"/>
                <w:szCs w:val="21"/>
              </w:rPr>
            </w:pPr>
          </w:p>
        </w:tc>
        <w:tc>
          <w:tcPr>
            <w:tcW w:w="617" w:type="pct"/>
            <w:vAlign w:val="center"/>
          </w:tcPr>
          <w:p w14:paraId="4EE63544">
            <w:pPr>
              <w:spacing w:line="300" w:lineRule="exact"/>
              <w:jc w:val="center"/>
              <w:rPr>
                <w:rFonts w:ascii="仿宋_GB2312" w:hAnsi="仿宋_GB2312" w:eastAsia="仿宋_GB2312" w:cs="仿宋_GB2312"/>
                <w:kern w:val="0"/>
                <w:sz w:val="20"/>
                <w:szCs w:val="21"/>
              </w:rPr>
            </w:pPr>
          </w:p>
        </w:tc>
      </w:tr>
      <w:tr w14:paraId="45EE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918" w:type="pct"/>
            <w:gridSpan w:val="3"/>
            <w:vAlign w:val="center"/>
          </w:tcPr>
          <w:p w14:paraId="363274AE">
            <w:pPr>
              <w:spacing w:line="300" w:lineRule="exact"/>
              <w:jc w:val="center"/>
              <w:rPr>
                <w:rFonts w:ascii="仿宋_GB2312" w:hAnsi="仿宋_GB2312" w:eastAsia="仿宋_GB2312" w:cs="仿宋_GB2312"/>
                <w:b/>
                <w:bCs/>
                <w:spacing w:val="-2"/>
                <w:kern w:val="0"/>
                <w:sz w:val="20"/>
                <w:szCs w:val="21"/>
              </w:rPr>
            </w:pPr>
            <w:r>
              <w:rPr>
                <w:rFonts w:hint="eastAsia" w:ascii="仿宋_GB2312" w:hAnsi="仿宋_GB2312" w:eastAsia="仿宋_GB2312" w:cs="仿宋_GB2312"/>
                <w:b/>
                <w:bCs/>
                <w:spacing w:val="-2"/>
                <w:kern w:val="0"/>
                <w:sz w:val="20"/>
                <w:szCs w:val="21"/>
              </w:rPr>
              <w:t>合计（含税费、服务费等一切费用）</w:t>
            </w:r>
          </w:p>
        </w:tc>
        <w:tc>
          <w:tcPr>
            <w:tcW w:w="1081" w:type="pct"/>
            <w:gridSpan w:val="2"/>
            <w:vAlign w:val="center"/>
          </w:tcPr>
          <w:p w14:paraId="059955DA">
            <w:pPr>
              <w:spacing w:line="300" w:lineRule="exact"/>
              <w:jc w:val="center"/>
              <w:rPr>
                <w:rFonts w:ascii="仿宋_GB2312" w:hAnsi="仿宋_GB2312" w:eastAsia="仿宋_GB2312" w:cs="仿宋_GB2312"/>
                <w:b/>
                <w:bCs/>
                <w:spacing w:val="-2"/>
                <w:kern w:val="0"/>
                <w:sz w:val="20"/>
                <w:szCs w:val="21"/>
              </w:rPr>
            </w:pPr>
            <w:r>
              <w:rPr>
                <w:rFonts w:hint="eastAsia" w:ascii="仿宋_GB2312" w:hAnsi="仿宋_GB2312" w:eastAsia="仿宋_GB2312" w:cs="仿宋_GB2312"/>
                <w:b/>
                <w:bCs/>
                <w:spacing w:val="-2"/>
                <w:kern w:val="0"/>
                <w:sz w:val="20"/>
                <w:szCs w:val="21"/>
              </w:rPr>
              <w:t>¥元</w:t>
            </w:r>
          </w:p>
        </w:tc>
      </w:tr>
    </w:tbl>
    <w:p w14:paraId="18E1ECAE">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2.服务地点：                                                        </w:t>
      </w:r>
    </w:p>
    <w:p w14:paraId="0E11423F">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3.服务期限：自   年   月  日至   年   月   日</w:t>
      </w:r>
    </w:p>
    <w:p w14:paraId="76CE3408">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w:t>
      </w:r>
      <w:r>
        <w:rPr>
          <w:rFonts w:ascii="仿宋_GB2312" w:hAnsi="仿宋_GB2312" w:eastAsia="仿宋_GB2312" w:cs="仿宋_GB2312"/>
          <w:color w:val="000000"/>
          <w:kern w:val="0"/>
          <w:sz w:val="24"/>
          <w:lang w:bidi="ar"/>
        </w:rPr>
        <w:t>.</w:t>
      </w:r>
      <w:r>
        <w:rPr>
          <w:rFonts w:hint="eastAsia" w:ascii="仿宋_GB2312" w:hAnsi="仿宋_GB2312" w:eastAsia="仿宋_GB2312" w:cs="仿宋_GB2312"/>
          <w:color w:val="000000"/>
          <w:kern w:val="0"/>
          <w:sz w:val="24"/>
          <w:lang w:bidi="ar"/>
        </w:rPr>
        <w:t>服务人员：乙方根据部门职能和甲方需要配备项目负责人</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lang w:bidi="ar"/>
        </w:rPr>
        <w:t>和</w:t>
      </w:r>
      <w:r>
        <w:rPr>
          <w:rFonts w:hint="eastAsia" w:ascii="仿宋_GB2312" w:hAnsi="仿宋_GB2312" w:eastAsia="仿宋_GB2312" w:cs="仿宋_GB2312"/>
          <w:color w:val="000000"/>
          <w:kern w:val="0"/>
          <w:sz w:val="24"/>
          <w:lang w:bidi="ar"/>
        </w:rPr>
        <w:t>专业人员</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w:t>
      </w:r>
    </w:p>
    <w:p w14:paraId="6C0887EC">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二、合同金额</w:t>
      </w:r>
    </w:p>
    <w:p w14:paraId="7081132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1.合同金额为人民币</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元，大写：</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分项价格详见合同服务清单）。此合同为固定价格合同，标的物单价、总价不予调整，包括了服务价格及与之配套的设计、制作、正版软件、检测、税费以及验收、培训、技术服务（包括技术资料、图纸等）、质保期服务等全部价款，除此之外，甲方不再向乙方支付其他任何费用。</w:t>
      </w:r>
    </w:p>
    <w:p w14:paraId="2637584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2.乙方账户信息</w:t>
      </w:r>
    </w:p>
    <w:p w14:paraId="15653F7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开户名称：</w:t>
      </w:r>
    </w:p>
    <w:p w14:paraId="753CA4D2">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开户银行：</w:t>
      </w:r>
    </w:p>
    <w:p w14:paraId="764638DA">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账    号：</w:t>
      </w:r>
    </w:p>
    <w:p w14:paraId="6F9837C7">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三、付款途径</w:t>
      </w:r>
    </w:p>
    <w:p w14:paraId="012E158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财政资金：</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元；自筹资金：</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 xml:space="preserve"> 元；财务报销经费号：</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 xml:space="preserve">。如因财政资金不到位而导致进度款或结算款迟延，甲方不承担逾期付款违约责任。 </w:t>
      </w:r>
      <w:r>
        <w:rPr>
          <w:rFonts w:ascii="仿宋_GB2312" w:hAnsi="仿宋_GB2312" w:eastAsia="仿宋_GB2312" w:cs="仿宋_GB2312"/>
          <w:color w:val="000000"/>
          <w:kern w:val="0"/>
          <w:sz w:val="24"/>
          <w:lang w:bidi="ar"/>
        </w:rPr>
        <w:t xml:space="preserve">     </w:t>
      </w:r>
    </w:p>
    <w:p w14:paraId="3D13CE79">
      <w:pPr>
        <w:widowControl/>
        <w:spacing w:line="400" w:lineRule="exact"/>
        <w:ind w:firstLine="480" w:firstLineChars="200"/>
        <w:jc w:val="left"/>
        <w:rPr>
          <w:rFonts w:hint="eastAsia" w:ascii="黑体" w:hAnsi="黑体" w:eastAsia="黑体" w:cs="仿宋_GB2312"/>
          <w:color w:val="000000"/>
          <w:kern w:val="0"/>
          <w:sz w:val="24"/>
          <w:lang w:bidi="ar"/>
        </w:rPr>
      </w:pPr>
      <w:r>
        <w:rPr>
          <w:rFonts w:hint="eastAsia" w:ascii="黑体" w:hAnsi="黑体" w:eastAsia="黑体" w:cs="仿宋_GB2312"/>
          <w:color w:val="000000"/>
          <w:kern w:val="0"/>
          <w:sz w:val="24"/>
          <w:lang w:bidi="ar"/>
        </w:rPr>
        <w:t xml:space="preserve">四、付款方式 </w:t>
      </w:r>
    </w:p>
    <w:p w14:paraId="18424852">
      <w:pPr>
        <w:widowControl/>
        <w:spacing w:line="400" w:lineRule="exact"/>
        <w:ind w:firstLine="480" w:firstLineChars="200"/>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lang w:val="en-US" w:eastAsia="zh-CN" w:bidi="ar"/>
        </w:rPr>
        <w:sym w:font="Wingdings 2" w:char="00A3"/>
      </w:r>
      <w:r>
        <w:rPr>
          <w:rFonts w:hint="eastAsia" w:ascii="仿宋_GB2312" w:hAnsi="仿宋_GB2312" w:eastAsia="仿宋_GB2312" w:cs="仿宋_GB2312"/>
          <w:color w:val="000000"/>
          <w:kern w:val="0"/>
          <w:sz w:val="24"/>
          <w:lang w:val="en-US" w:eastAsia="zh-CN" w:bidi="ar"/>
        </w:rPr>
        <w:t>1.</w:t>
      </w:r>
      <w:r>
        <w:rPr>
          <w:rFonts w:ascii="仿宋_GB2312" w:hAnsi="仿宋_GB2312" w:eastAsia="仿宋_GB2312" w:cs="仿宋_GB2312"/>
          <w:color w:val="000000"/>
          <w:kern w:val="0"/>
          <w:sz w:val="24"/>
          <w:lang w:bidi="ar"/>
        </w:rPr>
        <w:t>一次性支付方式</w:t>
      </w:r>
      <w:r>
        <w:rPr>
          <w:rFonts w:hint="eastAsia" w:ascii="仿宋_GB2312" w:hAnsi="仿宋_GB2312" w:eastAsia="仿宋_GB2312" w:cs="仿宋_GB2312"/>
          <w:color w:val="000000"/>
          <w:kern w:val="0"/>
          <w:sz w:val="24"/>
          <w:lang w:eastAsia="zh-CN" w:bidi="ar"/>
        </w:rPr>
        <w:t>；</w:t>
      </w:r>
      <w:r>
        <w:rPr>
          <w:rFonts w:hint="eastAsia" w:ascii="仿宋_GB2312" w:hAnsi="仿宋_GB2312" w:eastAsia="仿宋_GB2312" w:cs="仿宋_GB2312"/>
          <w:color w:val="000000"/>
          <w:kern w:val="0"/>
          <w:sz w:val="24"/>
          <w:highlight w:val="none"/>
          <w:lang w:val="en-US" w:eastAsia="zh-CN" w:bidi="ar"/>
        </w:rPr>
        <w:sym w:font="Wingdings 2" w:char="00A3"/>
      </w:r>
      <w:r>
        <w:rPr>
          <w:rFonts w:hint="eastAsia" w:ascii="仿宋_GB2312" w:hAnsi="仿宋_GB2312" w:eastAsia="仿宋_GB2312" w:cs="仿宋_GB2312"/>
          <w:color w:val="000000"/>
          <w:kern w:val="0"/>
          <w:sz w:val="24"/>
          <w:highlight w:val="none"/>
          <w:lang w:val="en-US" w:eastAsia="zh-CN" w:bidi="ar"/>
        </w:rPr>
        <w:t>2.根据服务周期，分</w:t>
      </w:r>
      <w:r>
        <w:rPr>
          <w:rFonts w:hint="eastAsia" w:ascii="仿宋_GB2312" w:hAnsi="仿宋_GB2312" w:eastAsia="仿宋_GB2312" w:cs="仿宋_GB2312"/>
          <w:color w:val="000000"/>
          <w:kern w:val="0"/>
          <w:sz w:val="24"/>
          <w:highlight w:val="none"/>
          <w:u w:val="single"/>
          <w:lang w:val="en-US" w:eastAsia="zh-CN" w:bidi="ar"/>
        </w:rPr>
        <w:t xml:space="preserve">  </w:t>
      </w:r>
      <w:r>
        <w:rPr>
          <w:rFonts w:hint="eastAsia" w:ascii="仿宋_GB2312" w:hAnsi="仿宋_GB2312" w:eastAsia="仿宋_GB2312" w:cs="仿宋_GB2312"/>
          <w:color w:val="000000"/>
          <w:kern w:val="0"/>
          <w:sz w:val="24"/>
          <w:highlight w:val="none"/>
          <w:lang w:val="en-US" w:eastAsia="zh-CN" w:bidi="ar"/>
        </w:rPr>
        <w:t>次付款。</w:t>
      </w:r>
    </w:p>
    <w:p w14:paraId="38A45A5F">
      <w:pPr>
        <w:widowControl/>
        <w:spacing w:line="400" w:lineRule="exact"/>
        <w:ind w:firstLine="480" w:firstLineChars="200"/>
        <w:jc w:val="left"/>
        <w:rPr>
          <w:rFonts w:hint="eastAsia" w:ascii="仿宋_GB2312" w:hAnsi="仿宋_GB2312" w:eastAsia="仿宋_GB2312" w:cs="仿宋_GB2312"/>
          <w:color w:val="000000"/>
          <w:kern w:val="0"/>
          <w:sz w:val="24"/>
          <w:lang w:eastAsia="zh-CN" w:bidi="ar"/>
        </w:rPr>
      </w:pPr>
      <w:r>
        <w:rPr>
          <w:rFonts w:hint="eastAsia" w:ascii="仿宋_GB2312" w:hAnsi="仿宋_GB2312" w:eastAsia="仿宋_GB2312" w:cs="仿宋_GB2312"/>
          <w:color w:val="000000"/>
          <w:kern w:val="0"/>
          <w:sz w:val="24"/>
          <w:lang w:bidi="ar"/>
        </w:rPr>
        <w:t>经双方验收合格之日起</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个工作日内，</w:t>
      </w:r>
      <w:r>
        <w:rPr>
          <w:rFonts w:ascii="仿宋_GB2312" w:hAnsi="仿宋_GB2312" w:eastAsia="仿宋_GB2312" w:cs="仿宋_GB2312"/>
          <w:color w:val="000000"/>
          <w:kern w:val="0"/>
          <w:sz w:val="24"/>
          <w:lang w:bidi="ar"/>
        </w:rPr>
        <w:t>且</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收到</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开具的符合采购人要求的发票之日起</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lang w:bidi="ar"/>
        </w:rPr>
        <w:t>个工作日内，</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向</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支付</w:t>
      </w:r>
      <w:r>
        <w:rPr>
          <w:rFonts w:hint="eastAsia" w:ascii="仿宋_GB2312" w:hAnsi="仿宋_GB2312" w:eastAsia="仿宋_GB2312" w:cs="仿宋_GB2312"/>
          <w:color w:val="000000"/>
          <w:kern w:val="0"/>
          <w:sz w:val="24"/>
          <w:lang w:val="en-US" w:eastAsia="zh-CN" w:bidi="ar"/>
        </w:rPr>
        <w:t>全部</w:t>
      </w:r>
      <w:r>
        <w:rPr>
          <w:rFonts w:ascii="仿宋_GB2312" w:hAnsi="仿宋_GB2312" w:eastAsia="仿宋_GB2312" w:cs="仿宋_GB2312"/>
          <w:color w:val="000000"/>
          <w:kern w:val="0"/>
          <w:sz w:val="24"/>
          <w:lang w:bidi="ar"/>
        </w:rPr>
        <w:t>款项。</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未及时开具发票或者发票信息不符等，</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有权拒绝付款且不承担违约责任。</w:t>
      </w:r>
    </w:p>
    <w:p w14:paraId="4E29EC5D">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五、服务质量</w:t>
      </w:r>
    </w:p>
    <w:p w14:paraId="1E58573C">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乙方按照本合同前款所述的服务时间、地点、内容、数量和质量等要求向甲方提供服务，在服务期限内，若乙方提供的服务未达到约定的数量、质量等标准，应当及时更换、补齐或提升服务质量水平至本合同要求的标准。</w:t>
      </w:r>
    </w:p>
    <w:p w14:paraId="4FE2F9A2">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乙方根据甲方提供的场地、设施或材料等条件完成服务内容。乙方保证所提供的服务必须符合本合同服务项目质量标准要求及相关的国家标准、行业标准、地方标准或者其他标准、规范，标准不一致的，按照较高的标准执行。</w:t>
      </w:r>
    </w:p>
    <w:p w14:paraId="11583202">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42628E82">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如果乙方工作人员在服务中，未尽安全义务，有可能出现伤害自身或威胁到他人生命、财产安全的情况，甲方以及相关人员有权立即要求中止服务，由此产生的一切费用及损失由乙方自行承担，甲方不承担任何责任。</w:t>
      </w:r>
    </w:p>
    <w:p w14:paraId="3F238DA0">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乙方应确保向甲方提供服务的过程中不存在侵犯甲方或第三方知识产权、名誉权、隐私权等合法权利的情况，根据本合同提供的服务及相关的软件和技术资料，均已取得有关知识产权的权利人的合法授权。如发生涉及专利权、著作权、商标权等争议，乙方负责处理并承担由此引起的全部法律及经济责任。</w:t>
      </w:r>
    </w:p>
    <w:p w14:paraId="2AB44B48">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6.乙方不得以任何理由将其承接在本合同项下的服务项目转包给第三人或者将其承接的全部服务项目肢解以后以分包的名义分别转包第三人。</w:t>
      </w:r>
    </w:p>
    <w:p w14:paraId="0F78C2BA">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7.项目交付后，乙方应无条件返还甲方向其提供的文件、资料并向甲方移交项目资料，同时乙方应当自留一份完整的项目档案并予以妥善保管。</w:t>
      </w:r>
    </w:p>
    <w:p w14:paraId="31333ED0">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六、服务期和质量保证期</w:t>
      </w:r>
    </w:p>
    <w:p w14:paraId="42C4B68F">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1.本项目服务期</w:t>
      </w:r>
      <w:r>
        <w:rPr>
          <w:rFonts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lang w:bidi="ar"/>
        </w:rPr>
        <w:t>年，</w:t>
      </w:r>
      <w:r>
        <w:rPr>
          <w:rFonts w:hint="eastAsia" w:ascii="仿宋_GB2312" w:hAnsi="仿宋_GB2312" w:eastAsia="仿宋_GB2312" w:cs="仿宋_GB2312"/>
          <w:color w:val="000000"/>
          <w:kern w:val="0"/>
          <w:sz w:val="24"/>
          <w:lang w:bidi="ar"/>
        </w:rPr>
        <w:t>服务期内乙方未在约定时间内做出服务响应的，甲方有权安排第三方提供服务，由此产生的费用由乙方负担。</w:t>
      </w:r>
    </w:p>
    <w:p w14:paraId="1A28485C">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2.</w:t>
      </w:r>
      <w:r>
        <w:rPr>
          <w:rFonts w:hint="eastAsia" w:ascii="仿宋_GB2312" w:hAnsi="仿宋_GB2312" w:eastAsia="仿宋_GB2312" w:cs="仿宋_GB2312"/>
          <w:color w:val="000000"/>
          <w:kern w:val="0"/>
          <w:sz w:val="24"/>
          <w:lang w:bidi="ar"/>
        </w:rPr>
        <w:t>质量保证期内</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年，乙方负责对本项目中技术和货物类产品免费提供维护、维修或更换，包括设备维修所需的零配件及不能解决的故障需要返回生产厂家维修时所发生的一切费用，保修费用由乙方承担。</w:t>
      </w:r>
    </w:p>
    <w:p w14:paraId="31BCFA23">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七、履约验收</w:t>
      </w:r>
    </w:p>
    <w:p w14:paraId="6B23BFF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1.甲方或甲方委托的其他机构应及时对乙方提供的服务进行验收。甲方应当成立验收小组，负责项目验收具体工作，出具验收意见，并对验收意见负责。</w:t>
      </w:r>
    </w:p>
    <w:p w14:paraId="1AF4166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2.验收时乙方应派员参加，双方共同对验收结果进行确认，并承担相关责任。</w:t>
      </w:r>
    </w:p>
    <w:p w14:paraId="3F0BE52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3.该服务产品经甲方验收后达不到质量或规格要求的，甲方可以拒收，并可以解除合同，由此给甲方造成的一切损失由乙方承担。</w:t>
      </w:r>
    </w:p>
    <w:p w14:paraId="5CE22A27">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4.对项目验收发生的检测（检验）费、劳务报酬等费用支出，由(甲方/ 乙方）承担。</w:t>
      </w:r>
    </w:p>
    <w:p w14:paraId="57299FDC">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5.验收程序执行《校（院）采购项目履约验收管理办法》校（院）字〔2024〕141号规定。（履约验收记录可另附明细附件）。</w:t>
      </w:r>
    </w:p>
    <w:p w14:paraId="45C9FCFB">
      <w:pPr>
        <w:spacing w:line="400" w:lineRule="exact"/>
        <w:rPr>
          <w:rFonts w:ascii="黑体" w:hAnsi="黑体" w:eastAsia="黑体" w:cs="仿宋_GB2312"/>
          <w:color w:val="000000"/>
          <w:kern w:val="0"/>
          <w:sz w:val="24"/>
          <w:lang w:bidi="ar"/>
        </w:rPr>
      </w:pPr>
      <w:r>
        <w:rPr>
          <w:rFonts w:hint="eastAsia" w:ascii="仿宋_GB2312" w:hAnsi="仿宋_GB2312" w:eastAsia="仿宋_GB2312" w:cs="仿宋_GB2312"/>
          <w:color w:val="000000"/>
          <w:kern w:val="0"/>
          <w:sz w:val="24"/>
          <w:lang w:bidi="ar"/>
        </w:rPr>
        <w:t xml:space="preserve">  </w:t>
      </w:r>
      <w:r>
        <w:rPr>
          <w:rFonts w:hint="eastAsia" w:ascii="黑体" w:hAnsi="黑体" w:eastAsia="黑体" w:cs="仿宋_GB2312"/>
          <w:color w:val="000000"/>
          <w:kern w:val="0"/>
          <w:sz w:val="24"/>
          <w:lang w:bidi="ar"/>
        </w:rPr>
        <w:t xml:space="preserve">  八、违约责任</w:t>
      </w:r>
    </w:p>
    <w:p w14:paraId="0B5BD005">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双方均应全面履行合同约定，如一方违约，应赔偿因此给守约方及第三方造成的损失。守约方为维护权益向违约方追偿的一切费用，包括但不限于律师费、诉讼费、保全费、鉴定费、差旅费等，均由违约方承担。</w:t>
      </w:r>
    </w:p>
    <w:p w14:paraId="3C9BE79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2.乙方提供的服务不符合本项目相关文件和本合同约定的，甲方有权拒收，并且乙方须向甲方支付本合同总金额</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％的违约金。</w:t>
      </w:r>
    </w:p>
    <w:p w14:paraId="751F67D3">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3.乙方未能按照本合同约定时间提供服务或完成约定的项目服务内容的，从逾期之日起每日按本合同总金额</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％的数额向甲方支付违约金；逾期</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日以上的，甲方有权终止合同，由此造成的甲方经济损失由乙方承担。</w:t>
      </w:r>
    </w:p>
    <w:p w14:paraId="1B13279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4.乙方不得将本合同服务转包第三方承担。如转包，则乙方应支付给甲方本合同总金额</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％的违约金。</w:t>
      </w:r>
    </w:p>
    <w:p w14:paraId="14A011F3">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5.乙方认可甲方有权自应付合同款项中直接扣除因乙方违约产生的违约金，不足以支付的，甲方有权向乙方追偿。</w:t>
      </w:r>
    </w:p>
    <w:p w14:paraId="2089250F">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6.其他违约责任按《中华人民共和国民法典》处理。</w:t>
      </w:r>
    </w:p>
    <w:p w14:paraId="4D05542B">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九、保密条款</w:t>
      </w:r>
    </w:p>
    <w:p w14:paraId="5CEEBABA">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乙方应遵守国家有关保密的法律法规和行业规定，并对甲方提供的资料负有保密义务。未经甲方同意，不得将各种信息和资料提供给其他单位和个人，如发生以上情况，甲方有权索赔。</w:t>
      </w:r>
    </w:p>
    <w:p w14:paraId="053E005F">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十、争议解决</w:t>
      </w:r>
    </w:p>
    <w:p w14:paraId="6D6C3D3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合同双方应通过友好协商方式解决争议。如果经协商不能达成协议，</w:t>
      </w:r>
      <w:r>
        <w:rPr>
          <w:rFonts w:ascii="仿宋_GB2312" w:hAnsi="仿宋_GB2312" w:eastAsia="仿宋_GB2312" w:cs="仿宋_GB2312"/>
          <w:color w:val="000000"/>
          <w:kern w:val="0"/>
          <w:sz w:val="24"/>
          <w:lang w:bidi="ar"/>
        </w:rPr>
        <w:t>向甲方所在地人民法院提起诉讼。</w:t>
      </w:r>
    </w:p>
    <w:p w14:paraId="6B6119D9">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十一、合同文件</w:t>
      </w:r>
    </w:p>
    <w:p w14:paraId="5631B372">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组成本合同的文件包括：</w:t>
      </w:r>
    </w:p>
    <w:p w14:paraId="5EFD8C23">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1.本项目采购记录；</w:t>
      </w:r>
    </w:p>
    <w:p w14:paraId="1F05D28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2.合同格式；</w:t>
      </w:r>
    </w:p>
    <w:p w14:paraId="1A8F49D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3.本合同附件。</w:t>
      </w:r>
    </w:p>
    <w:p w14:paraId="1F5D6E86">
      <w:pPr>
        <w:spacing w:line="400" w:lineRule="exact"/>
        <w:ind w:firstLine="480" w:firstLineChars="200"/>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十二、其他约定事项</w:t>
      </w:r>
    </w:p>
    <w:p w14:paraId="299590AB">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1.本合同中的附件均为本合同不可分割的部分，与本合同具有相同的法律效力。</w:t>
      </w:r>
    </w:p>
    <w:p w14:paraId="2135B14D">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2.本合同自双方法定代表人或授权代表签字并加盖公章后生效。</w:t>
      </w:r>
    </w:p>
    <w:p w14:paraId="2FA5A221">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3.本合同一式四份，具有同等法律效力。甲方贰份，乙方贰份。</w:t>
      </w:r>
    </w:p>
    <w:p w14:paraId="08629101">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4.合同未尽事宜，经双方协商可签订补充协议，所签订的补充协议与本合同具有同等的法律效力，补充协议的生效应符合本合同及相关法律法规的相关规定。</w:t>
      </w:r>
    </w:p>
    <w:p w14:paraId="54C60959">
      <w:pPr>
        <w:spacing w:line="400" w:lineRule="exact"/>
        <w:ind w:firstLine="480" w:firstLineChars="200"/>
        <w:rPr>
          <w:rFonts w:ascii="仿宋_GB2312" w:hAnsi="仿宋_GB2312" w:eastAsia="仿宋_GB2312" w:cs="仿宋_GB2312"/>
          <w:color w:val="000000"/>
          <w:kern w:val="0"/>
          <w:sz w:val="24"/>
          <w:lang w:bidi="ar"/>
        </w:rPr>
      </w:pPr>
      <w:r>
        <w:rPr>
          <w:rFonts w:hint="eastAsia" w:ascii="黑体" w:hAnsi="黑体" w:eastAsia="黑体" w:cs="仿宋_GB2312"/>
          <w:color w:val="000000"/>
          <w:kern w:val="0"/>
          <w:sz w:val="24"/>
          <w:lang w:bidi="ar"/>
        </w:rPr>
        <w:t>十三、合同附件</w:t>
      </w:r>
      <w:r>
        <w:rPr>
          <w:rFonts w:hint="eastAsia" w:ascii="仿宋_GB2312" w:hAnsi="仿宋_GB2312" w:eastAsia="仿宋_GB2312" w:cs="仿宋_GB2312"/>
          <w:color w:val="000000"/>
          <w:kern w:val="0"/>
          <w:sz w:val="24"/>
          <w:lang w:bidi="ar"/>
        </w:rPr>
        <w:t>（若有多个附件应注明附件名称）</w:t>
      </w:r>
    </w:p>
    <w:p w14:paraId="5B35A479">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1.服务内容及数量；</w:t>
      </w:r>
    </w:p>
    <w:p w14:paraId="0BC5440F">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2.服务费用明细表；</w:t>
      </w:r>
    </w:p>
    <w:p w14:paraId="2E24F584">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3.履约验收记录。</w:t>
      </w:r>
    </w:p>
    <w:p w14:paraId="2CA6C307">
      <w:pPr>
        <w:spacing w:line="400" w:lineRule="exact"/>
        <w:ind w:firstLine="480" w:firstLineChars="200"/>
        <w:rPr>
          <w:rFonts w:ascii="仿宋_GB2312" w:hAnsi="仿宋_GB2312" w:eastAsia="仿宋_GB2312" w:cs="仿宋_GB2312"/>
          <w:color w:val="000000"/>
          <w:kern w:val="0"/>
          <w:sz w:val="24"/>
          <w:lang w:bidi="ar"/>
        </w:rPr>
      </w:pPr>
    </w:p>
    <w:p w14:paraId="5B3E3D67">
      <w:pPr>
        <w:spacing w:line="400" w:lineRule="exact"/>
        <w:ind w:firstLine="480" w:firstLineChars="200"/>
        <w:rPr>
          <w:rFonts w:ascii="仿宋_GB2312" w:hAnsi="仿宋_GB2312" w:eastAsia="仿宋_GB2312" w:cs="仿宋_GB2312"/>
          <w:color w:val="000000"/>
          <w:kern w:val="0"/>
          <w:sz w:val="24"/>
          <w:lang w:bidi="ar"/>
        </w:rPr>
      </w:pPr>
    </w:p>
    <w:p w14:paraId="255AC6C8">
      <w:pPr>
        <w:spacing w:line="400" w:lineRule="exact"/>
        <w:ind w:firstLine="480" w:firstLineChars="200"/>
        <w:rPr>
          <w:rFonts w:ascii="仿宋_GB2312" w:hAnsi="仿宋_GB2312" w:eastAsia="仿宋_GB2312" w:cs="仿宋_GB2312"/>
          <w:color w:val="000000"/>
          <w:kern w:val="0"/>
          <w:sz w:val="24"/>
          <w:lang w:bidi="ar"/>
        </w:rPr>
      </w:pPr>
    </w:p>
    <w:p w14:paraId="40869F2C">
      <w:pPr>
        <w:spacing w:line="400" w:lineRule="exact"/>
        <w:ind w:firstLine="480" w:firstLineChars="200"/>
        <w:rPr>
          <w:rFonts w:ascii="仿宋_GB2312" w:hAnsi="仿宋_GB2312" w:eastAsia="仿宋_GB2312" w:cs="仿宋_GB2312"/>
          <w:color w:val="000000"/>
          <w:kern w:val="0"/>
          <w:sz w:val="24"/>
          <w:lang w:bidi="ar"/>
        </w:rPr>
      </w:pPr>
    </w:p>
    <w:p w14:paraId="7ECD18E5">
      <w:pPr>
        <w:spacing w:line="400" w:lineRule="exact"/>
        <w:ind w:firstLine="480" w:firstLineChars="200"/>
        <w:rPr>
          <w:rFonts w:ascii="仿宋_GB2312" w:hAnsi="仿宋_GB2312" w:eastAsia="仿宋_GB2312" w:cs="仿宋_GB2312"/>
          <w:color w:val="000000"/>
          <w:kern w:val="0"/>
          <w:sz w:val="24"/>
          <w:lang w:bidi="ar"/>
        </w:rPr>
      </w:pPr>
    </w:p>
    <w:p w14:paraId="48F3F45D">
      <w:pPr>
        <w:spacing w:line="400" w:lineRule="exact"/>
        <w:ind w:firstLine="480" w:firstLineChars="200"/>
        <w:rPr>
          <w:rFonts w:hint="eastAsia" w:ascii="仿宋_GB2312" w:hAnsi="仿宋_GB2312" w:eastAsia="仿宋_GB2312" w:cs="仿宋_GB2312"/>
          <w:color w:val="000000"/>
          <w:kern w:val="0"/>
          <w:sz w:val="24"/>
          <w:lang w:bidi="ar"/>
        </w:rPr>
      </w:pPr>
    </w:p>
    <w:p w14:paraId="513EA63C">
      <w:pPr>
        <w:spacing w:line="560" w:lineRule="exac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甲    方：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乙    方：                         </w:t>
      </w:r>
    </w:p>
    <w:p w14:paraId="097BD4E8">
      <w:pPr>
        <w:spacing w:line="560" w:lineRule="exac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单位名称（公章）：                      单位名称（公章）：</w:t>
      </w:r>
    </w:p>
    <w:p w14:paraId="6B5170C7">
      <w:pPr>
        <w:spacing w:line="560" w:lineRule="exac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val="en-US" w:eastAsia="zh-CN" w:bidi="ar"/>
        </w:rPr>
        <w:t>纳税人识别号：</w:t>
      </w:r>
      <w:r>
        <w:rPr>
          <w:rFonts w:hint="eastAsia" w:ascii="仿宋_GB2312" w:hAnsi="仿宋_GB2312" w:eastAsia="仿宋_GB2312" w:cs="仿宋_GB2312"/>
          <w:color w:val="000000"/>
          <w:kern w:val="0"/>
          <w:sz w:val="24"/>
          <w:lang w:bidi="ar"/>
        </w:rPr>
        <w:t xml:space="preserve"> </w:t>
      </w:r>
    </w:p>
    <w:p w14:paraId="548EECCE">
      <w:pPr>
        <w:spacing w:line="560" w:lineRule="exac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val="en-US" w:eastAsia="zh-CN" w:bidi="ar"/>
        </w:rPr>
        <w:t>地    址</w:t>
      </w:r>
      <w:r>
        <w:rPr>
          <w:rFonts w:hint="eastAsia" w:ascii="仿宋_GB2312" w:hAnsi="仿宋_GB2312" w:eastAsia="仿宋_GB2312" w:cs="仿宋_GB2312"/>
          <w:color w:val="000000"/>
          <w:kern w:val="0"/>
          <w:sz w:val="24"/>
          <w:lang w:eastAsia="zh-CN" w:bidi="ar"/>
        </w:rPr>
        <w:t>：</w:t>
      </w:r>
      <w:r>
        <w:rPr>
          <w:rFonts w:hint="eastAsia"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val="en-US" w:eastAsia="zh-CN" w:bidi="ar"/>
        </w:rPr>
        <w:t>地    址</w:t>
      </w:r>
      <w:r>
        <w:rPr>
          <w:rFonts w:hint="eastAsia" w:ascii="仿宋_GB2312" w:hAnsi="仿宋_GB2312" w:eastAsia="仿宋_GB2312" w:cs="仿宋_GB2312"/>
          <w:color w:val="000000"/>
          <w:kern w:val="0"/>
          <w:sz w:val="24"/>
          <w:lang w:eastAsia="zh-CN" w:bidi="ar"/>
        </w:rPr>
        <w:t>：</w:t>
      </w:r>
    </w:p>
    <w:p w14:paraId="22DC3379">
      <w:pPr>
        <w:spacing w:line="560" w:lineRule="exac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val="en-US" w:eastAsia="zh-CN" w:bidi="ar"/>
        </w:rPr>
        <w:t>授权</w:t>
      </w:r>
      <w:r>
        <w:rPr>
          <w:rFonts w:hint="eastAsia" w:ascii="仿宋_GB2312" w:hAnsi="仿宋_GB2312" w:eastAsia="仿宋_GB2312" w:cs="仿宋_GB2312"/>
          <w:color w:val="000000"/>
          <w:kern w:val="0"/>
          <w:sz w:val="24"/>
          <w:lang w:bidi="ar"/>
        </w:rPr>
        <w:t>代表人（签字）：                     法定</w:t>
      </w:r>
      <w:r>
        <w:rPr>
          <w:rFonts w:hint="eastAsia" w:ascii="仿宋_GB2312" w:hAnsi="仿宋_GB2312" w:eastAsia="仿宋_GB2312" w:cs="仿宋_GB2312"/>
          <w:color w:val="000000"/>
          <w:kern w:val="0"/>
          <w:sz w:val="24"/>
          <w:lang w:val="en-US" w:eastAsia="zh-CN" w:bidi="ar"/>
        </w:rPr>
        <w:t>或授权</w:t>
      </w:r>
      <w:r>
        <w:rPr>
          <w:rFonts w:hint="eastAsia" w:ascii="仿宋_GB2312" w:hAnsi="仿宋_GB2312" w:eastAsia="仿宋_GB2312" w:cs="仿宋_GB2312"/>
          <w:color w:val="000000"/>
          <w:kern w:val="0"/>
          <w:sz w:val="24"/>
          <w:lang w:bidi="ar"/>
        </w:rPr>
        <w:t>代表人（签字）：</w:t>
      </w:r>
    </w:p>
    <w:p w14:paraId="5F011767">
      <w:pPr>
        <w:spacing w:line="560" w:lineRule="exac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签订日期：年 月 日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签订日期：年 月 日</w:t>
      </w:r>
    </w:p>
    <w:p w14:paraId="3576A69A">
      <w:pPr>
        <w:spacing w:line="580" w:lineRule="exact"/>
        <w:rPr>
          <w:rFonts w:ascii="黑体" w:hAnsi="黑体" w:eastAsia="黑体" w:cs="黑体"/>
          <w:b/>
          <w:sz w:val="32"/>
          <w:szCs w:val="32"/>
        </w:rPr>
      </w:pPr>
    </w:p>
    <w:p w14:paraId="1FBFC20E">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FF257"/>
    <w:multiLevelType w:val="singleLevel"/>
    <w:tmpl w:val="FEFFF25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A6F"/>
    <w:rsid w:val="004B660A"/>
    <w:rsid w:val="00C71A6F"/>
    <w:rsid w:val="00CD4C4A"/>
    <w:rsid w:val="00FF5FD8"/>
    <w:rsid w:val="034C0670"/>
    <w:rsid w:val="0FD757B3"/>
    <w:rsid w:val="28862693"/>
    <w:rsid w:val="32180206"/>
    <w:rsid w:val="33693130"/>
    <w:rsid w:val="49555444"/>
    <w:rsid w:val="4DA44BEC"/>
    <w:rsid w:val="587C7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2568</Words>
  <Characters>2620</Characters>
  <Lines>110</Lines>
  <Paragraphs>96</Paragraphs>
  <TotalTime>2</TotalTime>
  <ScaleCrop>false</ScaleCrop>
  <LinksUpToDate>false</LinksUpToDate>
  <CharactersWithSpaces>3034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2025-10-11T06:56:00Z</dcterms:created>
  <dc:creator>China</dc:creator>
  <cp:lastModifiedBy>Administrator</cp:lastModifiedBy>
  <dcterms:modified xsi:type="dcterms:W3CDTF">2026-06-05T08:34:15Z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eyJoZGlkIjoiNDI5YWU1ZTc0MGZkYWE3MjNmNDQ1Mzc1MjFiZjliZmQiLCJ1c2VySWQiOiI5ODg5ODM1MDcifQ==</vt:lpwstr>
  </property>
  <property fmtid="{D5CDD505-2E9C-101B-9397-08002B2CF9AE}" pid="3" name="KSOProductBuildVer">
    <vt:lpwstr>2052-12.1.0.26895</vt:lpwstr>
  </property>
  <property fmtid="{D5CDD505-2E9C-101B-9397-08002B2CF9AE}" pid="4" name="ICV">
    <vt:lpwstr>765785B6D2AD4C42B0F1682924734F51_12</vt:lpwstr>
  </property>
</Properties>
</file>