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A5998BF">
      <w:pPr>
        <w:autoSpaceDE w:val="0"/>
        <w:autoSpaceDN w:val="0"/>
        <w:adjustRightInd w:val="0"/>
        <w:spacing w:line="360" w:lineRule="auto"/>
        <w:ind w:firstLine="643" w:firstLineChars="200"/>
        <w:jc w:val="center"/>
        <w:outlineLvl w:val="0"/>
        <w:rPr>
          <w:rFonts w:hint="eastAsia" w:ascii="仿宋" w:hAnsi="仿宋" w:eastAsia="仿宋" w:cs="仿宋"/>
          <w:color w:val="auto"/>
          <w:kern w:val="0"/>
          <w:sz w:val="24"/>
          <w:szCs w:val="32"/>
          <w:highlight w:val="none"/>
        </w:rPr>
      </w:pPr>
      <w:bookmarkStart w:id="0" w:name="_Toc216582825"/>
      <w:bookmarkStart w:id="1" w:name="_Toc4766527"/>
      <w:bookmarkStart w:id="2" w:name="_Toc4354"/>
      <w:bookmarkStart w:id="3" w:name="_Toc219175638"/>
      <w:bookmarkStart w:id="4" w:name="_Toc9887"/>
      <w:bookmarkStart w:id="5" w:name="_Toc46238255"/>
      <w:bookmarkStart w:id="6" w:name="_Toc218935354"/>
      <w:bookmarkStart w:id="7" w:name="_Toc9032"/>
      <w:bookmarkStart w:id="8" w:name="_Toc507399906"/>
      <w:bookmarkStart w:id="9" w:name="_Toc515647831"/>
      <w:bookmarkStart w:id="10" w:name="_Toc1396"/>
      <w:r>
        <w:rPr>
          <w:rFonts w:hint="eastAsia" w:ascii="仿宋" w:hAnsi="仿宋" w:eastAsia="仿宋" w:cs="仿宋"/>
          <w:b/>
          <w:color w:val="auto"/>
          <w:kern w:val="44"/>
          <w:sz w:val="32"/>
          <w:szCs w:val="20"/>
          <w:highlight w:val="none"/>
        </w:rPr>
        <w:t>第4章  服务需求</w:t>
      </w:r>
      <w:bookmarkEnd w:id="0"/>
      <w:bookmarkEnd w:id="1"/>
      <w:bookmarkEnd w:id="2"/>
      <w:bookmarkEnd w:id="3"/>
      <w:bookmarkEnd w:id="4"/>
      <w:bookmarkEnd w:id="5"/>
      <w:bookmarkEnd w:id="6"/>
      <w:bookmarkEnd w:id="7"/>
      <w:bookmarkEnd w:id="8"/>
      <w:bookmarkEnd w:id="9"/>
      <w:bookmarkEnd w:id="10"/>
    </w:p>
    <w:p w14:paraId="7908EFD6">
      <w:pPr>
        <w:spacing w:line="360" w:lineRule="auto"/>
        <w:ind w:firstLine="424" w:firstLineChars="177"/>
        <w:outlineLvl w:val="9"/>
        <w:rPr>
          <w:rFonts w:hint="default" w:ascii="仿宋" w:hAnsi="仿宋" w:eastAsia="仿宋" w:cs="仿宋"/>
          <w:color w:val="auto"/>
          <w:sz w:val="24"/>
          <w:highlight w:val="none"/>
          <w:lang w:val="en-US" w:eastAsia="zh-CN"/>
        </w:rPr>
      </w:pPr>
      <w:r>
        <w:rPr>
          <w:rFonts w:hint="eastAsia" w:ascii="仿宋" w:hAnsi="仿宋" w:eastAsia="仿宋" w:cs="仿宋"/>
          <w:color w:val="auto"/>
          <w:sz w:val="24"/>
          <w:highlight w:val="none"/>
        </w:rPr>
        <w:t>一、</w:t>
      </w:r>
      <w:r>
        <w:rPr>
          <w:rFonts w:hint="eastAsia" w:ascii="仿宋" w:hAnsi="仿宋" w:eastAsia="仿宋" w:cs="仿宋"/>
          <w:color w:val="auto"/>
          <w:sz w:val="24"/>
          <w:highlight w:val="none"/>
          <w:lang w:val="en-US" w:eastAsia="zh-CN"/>
        </w:rPr>
        <w:t>项目概况</w:t>
      </w:r>
    </w:p>
    <w:p w14:paraId="53446463">
      <w:pPr>
        <w:spacing w:line="360" w:lineRule="auto"/>
        <w:ind w:firstLine="480" w:firstLineChars="200"/>
        <w:outlineLvl w:val="9"/>
        <w:rPr>
          <w:rFonts w:hint="eastAsia" w:ascii="仿宋" w:hAnsi="仿宋" w:eastAsia="仿宋" w:cs="仿宋"/>
          <w:color w:val="auto"/>
          <w:sz w:val="24"/>
          <w:highlight w:val="none"/>
        </w:rPr>
      </w:pPr>
      <w:r>
        <w:rPr>
          <w:rFonts w:hint="eastAsia" w:ascii="仿宋" w:hAnsi="仿宋" w:eastAsia="仿宋" w:cs="仿宋"/>
          <w:color w:val="auto"/>
          <w:sz w:val="24"/>
          <w:highlight w:val="none"/>
        </w:rPr>
        <w:t>对7个非独立核算学院的7位校（院）内管干部实施经济责任审计，对3个独立法人单位的3名内管干部实施经济责任审计。</w:t>
      </w:r>
      <w:r>
        <w:rPr>
          <w:rFonts w:hint="eastAsia" w:ascii="仿宋" w:hAnsi="仿宋" w:eastAsia="仿宋" w:cs="仿宋"/>
          <w:color w:val="auto"/>
          <w:sz w:val="24"/>
          <w:highlight w:val="none"/>
          <w:lang w:val="en-US" w:eastAsia="zh-CN"/>
        </w:rPr>
        <w:t>采购人</w:t>
      </w:r>
      <w:r>
        <w:rPr>
          <w:rFonts w:hint="eastAsia" w:ascii="仿宋" w:hAnsi="仿宋" w:eastAsia="仿宋" w:cs="仿宋"/>
          <w:color w:val="auto"/>
          <w:sz w:val="24"/>
          <w:highlight w:val="none"/>
        </w:rPr>
        <w:t>委托</w:t>
      </w:r>
      <w:r>
        <w:rPr>
          <w:rFonts w:hint="eastAsia" w:ascii="仿宋" w:hAnsi="仿宋" w:eastAsia="仿宋" w:cs="仿宋"/>
          <w:color w:val="auto"/>
          <w:sz w:val="24"/>
          <w:highlight w:val="none"/>
          <w:lang w:val="en-US" w:eastAsia="zh-CN"/>
        </w:rPr>
        <w:t>一</w:t>
      </w:r>
      <w:r>
        <w:rPr>
          <w:rFonts w:hint="eastAsia" w:ascii="仿宋" w:hAnsi="仿宋" w:eastAsia="仿宋" w:cs="仿宋"/>
          <w:color w:val="auto"/>
          <w:sz w:val="24"/>
          <w:highlight w:val="none"/>
        </w:rPr>
        <w:t>家</w:t>
      </w:r>
      <w:r>
        <w:rPr>
          <w:rFonts w:hint="eastAsia" w:ascii="仿宋" w:hAnsi="仿宋" w:eastAsia="仿宋" w:cs="仿宋"/>
          <w:color w:val="auto"/>
          <w:sz w:val="24"/>
          <w:highlight w:val="none"/>
          <w:lang w:val="en-US" w:eastAsia="zh-CN"/>
        </w:rPr>
        <w:t>供应商提供审计服务</w:t>
      </w:r>
      <w:r>
        <w:rPr>
          <w:rFonts w:hint="eastAsia" w:ascii="仿宋" w:hAnsi="仿宋" w:eastAsia="仿宋" w:cs="仿宋"/>
          <w:color w:val="auto"/>
          <w:sz w:val="24"/>
          <w:highlight w:val="none"/>
        </w:rPr>
        <w:t>，协助开展经济责任审计部分内容事项。委托内容为审查相关单位（部门）</w:t>
      </w:r>
      <w:bookmarkStart w:id="11" w:name="_Hlk201246691"/>
      <w:r>
        <w:rPr>
          <w:rFonts w:hint="eastAsia" w:ascii="仿宋" w:hAnsi="仿宋" w:eastAsia="仿宋" w:cs="仿宋"/>
          <w:color w:val="auto"/>
          <w:sz w:val="24"/>
          <w:highlight w:val="none"/>
        </w:rPr>
        <w:t>预算管理、</w:t>
      </w:r>
      <w:bookmarkEnd w:id="11"/>
      <w:r>
        <w:rPr>
          <w:rFonts w:hint="eastAsia" w:ascii="仿宋" w:hAnsi="仿宋" w:eastAsia="仿宋" w:cs="仿宋"/>
          <w:color w:val="auto"/>
          <w:sz w:val="24"/>
          <w:highlight w:val="none"/>
        </w:rPr>
        <w:t>经费收支管理及资产管理的</w:t>
      </w:r>
      <w:r>
        <w:rPr>
          <w:rFonts w:hint="eastAsia" w:ascii="仿宋" w:hAnsi="仿宋" w:eastAsia="仿宋" w:cs="仿宋"/>
          <w:color w:val="auto"/>
          <w:sz w:val="24"/>
          <w:highlight w:val="none"/>
          <w:lang w:val="en-US" w:eastAsia="zh-CN"/>
        </w:rPr>
        <w:t>合法性、</w:t>
      </w:r>
      <w:r>
        <w:rPr>
          <w:rFonts w:hint="eastAsia" w:ascii="仿宋" w:hAnsi="仿宋" w:eastAsia="仿宋" w:cs="仿宋"/>
          <w:color w:val="auto"/>
          <w:sz w:val="24"/>
          <w:highlight w:val="none"/>
        </w:rPr>
        <w:t>合规性</w:t>
      </w:r>
      <w:r>
        <w:rPr>
          <w:rFonts w:hint="eastAsia" w:ascii="仿宋" w:hAnsi="仿宋" w:eastAsia="仿宋" w:cs="仿宋"/>
          <w:color w:val="auto"/>
          <w:sz w:val="24"/>
          <w:highlight w:val="none"/>
          <w:lang w:val="en-US" w:eastAsia="zh-CN"/>
        </w:rPr>
        <w:t>等</w:t>
      </w:r>
      <w:r>
        <w:rPr>
          <w:rFonts w:hint="eastAsia" w:ascii="仿宋" w:hAnsi="仿宋" w:eastAsia="仿宋" w:cs="仿宋"/>
          <w:color w:val="auto"/>
          <w:sz w:val="24"/>
          <w:highlight w:val="none"/>
        </w:rPr>
        <w:t>情况。项目分为一包，7个非独立核算学院涉及资产总额5329万元，2个附属医院扣除人员工资和医用耗材后涉及资产总额95312万元,1个独立法人单位涉及资产1808万元。项目预算10万元。</w:t>
      </w:r>
    </w:p>
    <w:tbl>
      <w:tblPr>
        <w:tblStyle w:val="5"/>
        <w:tblpPr w:leftFromText="180" w:rightFromText="180" w:vertAnchor="text" w:horzAnchor="page" w:tblpX="1724" w:tblpY="46"/>
        <w:tblOverlap w:val="never"/>
        <w:tblW w:w="5000" w:type="pct"/>
        <w:tblInd w:w="0" w:type="dxa"/>
        <w:tblLayout w:type="autofit"/>
        <w:tblCellMar>
          <w:top w:w="15" w:type="dxa"/>
          <w:left w:w="15" w:type="dxa"/>
          <w:bottom w:w="15" w:type="dxa"/>
          <w:right w:w="15" w:type="dxa"/>
        </w:tblCellMar>
      </w:tblPr>
      <w:tblGrid>
        <w:gridCol w:w="668"/>
        <w:gridCol w:w="2322"/>
        <w:gridCol w:w="1643"/>
        <w:gridCol w:w="1593"/>
        <w:gridCol w:w="2110"/>
      </w:tblGrid>
      <w:tr w14:paraId="4A9A8CAA">
        <w:tblPrEx>
          <w:tblCellMar>
            <w:top w:w="15" w:type="dxa"/>
            <w:left w:w="15" w:type="dxa"/>
            <w:bottom w:w="15" w:type="dxa"/>
            <w:right w:w="15" w:type="dxa"/>
          </w:tblCellMar>
        </w:tblPrEx>
        <w:trPr>
          <w:trHeight w:val="405" w:hRule="atLeast"/>
        </w:trPr>
        <w:tc>
          <w:tcPr>
            <w:tcW w:w="401" w:type="pct"/>
            <w:tcBorders>
              <w:top w:val="single" w:color="000000" w:sz="4" w:space="0"/>
              <w:left w:val="single" w:color="000000" w:sz="4" w:space="0"/>
              <w:bottom w:val="single" w:color="000000" w:sz="4" w:space="0"/>
              <w:right w:val="single" w:color="000000" w:sz="4" w:space="0"/>
            </w:tcBorders>
            <w:noWrap w:val="0"/>
            <w:vAlign w:val="center"/>
          </w:tcPr>
          <w:p w14:paraId="7170E2B0">
            <w:pPr>
              <w:spacing w:line="360" w:lineRule="auto"/>
              <w:jc w:val="center"/>
              <w:outlineLvl w:val="9"/>
              <w:rPr>
                <w:rFonts w:hint="eastAsia" w:ascii="仿宋" w:hAnsi="仿宋" w:eastAsia="仿宋" w:cs="仿宋"/>
                <w:color w:val="auto"/>
                <w:sz w:val="24"/>
                <w:highlight w:val="none"/>
              </w:rPr>
            </w:pPr>
            <w:r>
              <w:rPr>
                <w:rFonts w:hint="eastAsia" w:ascii="仿宋" w:hAnsi="仿宋" w:eastAsia="仿宋" w:cs="仿宋"/>
                <w:color w:val="auto"/>
                <w:sz w:val="24"/>
                <w:highlight w:val="none"/>
              </w:rPr>
              <w:t>序号</w:t>
            </w:r>
          </w:p>
        </w:tc>
        <w:tc>
          <w:tcPr>
            <w:tcW w:w="1393" w:type="pct"/>
            <w:tcBorders>
              <w:top w:val="single" w:color="000000" w:sz="4" w:space="0"/>
              <w:left w:val="single" w:color="000000" w:sz="4" w:space="0"/>
              <w:bottom w:val="single" w:color="000000" w:sz="4" w:space="0"/>
              <w:right w:val="single" w:color="000000" w:sz="4" w:space="0"/>
            </w:tcBorders>
            <w:noWrap w:val="0"/>
            <w:vAlign w:val="center"/>
          </w:tcPr>
          <w:p w14:paraId="2D2F6AC4">
            <w:pPr>
              <w:spacing w:line="360" w:lineRule="auto"/>
              <w:jc w:val="center"/>
              <w:outlineLvl w:val="9"/>
              <w:rPr>
                <w:rFonts w:hint="eastAsia" w:ascii="仿宋" w:hAnsi="仿宋" w:eastAsia="仿宋" w:cs="仿宋"/>
                <w:color w:val="auto"/>
                <w:sz w:val="24"/>
                <w:highlight w:val="none"/>
              </w:rPr>
            </w:pPr>
            <w:r>
              <w:rPr>
                <w:rFonts w:hint="eastAsia" w:ascii="仿宋" w:hAnsi="仿宋" w:eastAsia="仿宋" w:cs="仿宋"/>
                <w:color w:val="auto"/>
                <w:sz w:val="24"/>
                <w:highlight w:val="none"/>
              </w:rPr>
              <w:t>单位类型</w:t>
            </w:r>
          </w:p>
        </w:tc>
        <w:tc>
          <w:tcPr>
            <w:tcW w:w="985" w:type="pct"/>
            <w:tcBorders>
              <w:top w:val="single" w:color="000000" w:sz="4" w:space="0"/>
              <w:left w:val="single" w:color="000000" w:sz="4" w:space="0"/>
              <w:bottom w:val="single" w:color="000000" w:sz="4" w:space="0"/>
              <w:right w:val="single" w:color="000000" w:sz="4" w:space="0"/>
            </w:tcBorders>
            <w:noWrap w:val="0"/>
            <w:vAlign w:val="center"/>
          </w:tcPr>
          <w:p w14:paraId="4613CBF9">
            <w:pPr>
              <w:spacing w:line="360" w:lineRule="auto"/>
              <w:jc w:val="center"/>
              <w:outlineLvl w:val="9"/>
              <w:rPr>
                <w:rFonts w:hint="eastAsia" w:ascii="仿宋" w:hAnsi="仿宋" w:eastAsia="仿宋" w:cs="仿宋"/>
                <w:color w:val="auto"/>
                <w:sz w:val="24"/>
                <w:highlight w:val="none"/>
              </w:rPr>
            </w:pPr>
            <w:r>
              <w:rPr>
                <w:rFonts w:hint="eastAsia" w:ascii="仿宋" w:hAnsi="仿宋" w:eastAsia="仿宋" w:cs="仿宋"/>
                <w:color w:val="auto"/>
                <w:sz w:val="24"/>
                <w:highlight w:val="none"/>
              </w:rPr>
              <w:t>重点审计期间</w:t>
            </w:r>
          </w:p>
        </w:tc>
        <w:tc>
          <w:tcPr>
            <w:tcW w:w="955" w:type="pct"/>
            <w:tcBorders>
              <w:top w:val="single" w:color="000000" w:sz="4" w:space="0"/>
              <w:left w:val="single" w:color="000000" w:sz="4" w:space="0"/>
              <w:bottom w:val="single" w:color="000000" w:sz="4" w:space="0"/>
              <w:right w:val="single" w:color="000000" w:sz="4" w:space="0"/>
            </w:tcBorders>
            <w:noWrap w:val="0"/>
            <w:vAlign w:val="center"/>
          </w:tcPr>
          <w:p w14:paraId="1469F94D">
            <w:pPr>
              <w:spacing w:line="360" w:lineRule="auto"/>
              <w:jc w:val="center"/>
              <w:outlineLvl w:val="9"/>
              <w:rPr>
                <w:rFonts w:hint="eastAsia" w:ascii="仿宋" w:hAnsi="仿宋" w:eastAsia="仿宋" w:cs="仿宋"/>
                <w:color w:val="auto"/>
                <w:sz w:val="24"/>
                <w:highlight w:val="none"/>
              </w:rPr>
            </w:pPr>
            <w:r>
              <w:rPr>
                <w:rFonts w:hint="eastAsia" w:ascii="仿宋" w:hAnsi="仿宋" w:eastAsia="仿宋" w:cs="仿宋"/>
                <w:color w:val="auto"/>
                <w:sz w:val="24"/>
                <w:highlight w:val="none"/>
              </w:rPr>
              <w:t>地点</w:t>
            </w:r>
          </w:p>
        </w:tc>
        <w:tc>
          <w:tcPr>
            <w:tcW w:w="1265" w:type="pct"/>
            <w:tcBorders>
              <w:top w:val="single" w:color="000000" w:sz="4" w:space="0"/>
              <w:left w:val="single" w:color="000000" w:sz="4" w:space="0"/>
              <w:bottom w:val="single" w:color="000000" w:sz="4" w:space="0"/>
              <w:right w:val="single" w:color="000000" w:sz="4" w:space="0"/>
            </w:tcBorders>
            <w:noWrap w:val="0"/>
            <w:vAlign w:val="center"/>
          </w:tcPr>
          <w:p w14:paraId="0FAA72DC">
            <w:pPr>
              <w:spacing w:line="360" w:lineRule="auto"/>
              <w:jc w:val="center"/>
              <w:outlineLvl w:val="9"/>
              <w:rPr>
                <w:rFonts w:hint="eastAsia" w:ascii="仿宋" w:hAnsi="仿宋" w:eastAsia="仿宋" w:cs="仿宋"/>
                <w:color w:val="auto"/>
                <w:sz w:val="24"/>
                <w:highlight w:val="none"/>
              </w:rPr>
            </w:pPr>
            <w:r>
              <w:rPr>
                <w:rFonts w:hint="eastAsia" w:ascii="仿宋" w:hAnsi="仿宋" w:eastAsia="仿宋" w:cs="仿宋"/>
                <w:color w:val="auto"/>
                <w:sz w:val="24"/>
                <w:highlight w:val="none"/>
              </w:rPr>
              <w:t>备注</w:t>
            </w:r>
          </w:p>
        </w:tc>
      </w:tr>
      <w:tr w14:paraId="09F793EB">
        <w:tblPrEx>
          <w:tblCellMar>
            <w:top w:w="15" w:type="dxa"/>
            <w:left w:w="15" w:type="dxa"/>
            <w:bottom w:w="15" w:type="dxa"/>
            <w:right w:w="15" w:type="dxa"/>
          </w:tblCellMar>
        </w:tblPrEx>
        <w:trPr>
          <w:trHeight w:val="405" w:hRule="atLeast"/>
        </w:trPr>
        <w:tc>
          <w:tcPr>
            <w:tcW w:w="401" w:type="pct"/>
            <w:tcBorders>
              <w:left w:val="single" w:color="000000" w:sz="4" w:space="0"/>
              <w:right w:val="single" w:color="000000" w:sz="4" w:space="0"/>
            </w:tcBorders>
            <w:noWrap w:val="0"/>
            <w:vAlign w:val="center"/>
          </w:tcPr>
          <w:p w14:paraId="04EAC09A">
            <w:pPr>
              <w:spacing w:line="360" w:lineRule="auto"/>
              <w:jc w:val="center"/>
              <w:outlineLvl w:val="9"/>
              <w:rPr>
                <w:rFonts w:hint="eastAsia" w:ascii="仿宋" w:hAnsi="仿宋" w:eastAsia="仿宋" w:cs="仿宋"/>
                <w:color w:val="auto"/>
                <w:sz w:val="24"/>
                <w:highlight w:val="none"/>
              </w:rPr>
            </w:pPr>
            <w:r>
              <w:rPr>
                <w:rFonts w:hint="eastAsia" w:ascii="仿宋" w:hAnsi="仿宋" w:eastAsia="仿宋" w:cs="仿宋"/>
                <w:color w:val="auto"/>
                <w:sz w:val="24"/>
                <w:highlight w:val="none"/>
              </w:rPr>
              <w:t>1</w:t>
            </w:r>
          </w:p>
        </w:tc>
        <w:tc>
          <w:tcPr>
            <w:tcW w:w="1393" w:type="pct"/>
            <w:tcBorders>
              <w:top w:val="single" w:color="000000" w:sz="4" w:space="0"/>
              <w:left w:val="single" w:color="000000" w:sz="4" w:space="0"/>
              <w:bottom w:val="single" w:color="000000" w:sz="4" w:space="0"/>
              <w:right w:val="single" w:color="000000" w:sz="4" w:space="0"/>
            </w:tcBorders>
            <w:noWrap w:val="0"/>
            <w:vAlign w:val="center"/>
          </w:tcPr>
          <w:p w14:paraId="05985488">
            <w:pPr>
              <w:spacing w:line="360" w:lineRule="auto"/>
              <w:jc w:val="center"/>
              <w:outlineLvl w:val="9"/>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二级</w:t>
            </w:r>
            <w:r>
              <w:rPr>
                <w:rFonts w:hint="eastAsia" w:ascii="仿宋" w:hAnsi="仿宋" w:eastAsia="仿宋" w:cs="仿宋"/>
                <w:color w:val="auto"/>
                <w:sz w:val="24"/>
                <w:highlight w:val="none"/>
              </w:rPr>
              <w:t>学院</w:t>
            </w:r>
          </w:p>
        </w:tc>
        <w:tc>
          <w:tcPr>
            <w:tcW w:w="985" w:type="pct"/>
            <w:tcBorders>
              <w:top w:val="single" w:color="000000" w:sz="4" w:space="0"/>
              <w:left w:val="single" w:color="000000" w:sz="4" w:space="0"/>
              <w:bottom w:val="single" w:color="000000" w:sz="4" w:space="0"/>
              <w:right w:val="single" w:color="000000" w:sz="4" w:space="0"/>
            </w:tcBorders>
            <w:noWrap w:val="0"/>
            <w:vAlign w:val="center"/>
          </w:tcPr>
          <w:p w14:paraId="74850744">
            <w:pPr>
              <w:spacing w:line="360" w:lineRule="auto"/>
              <w:jc w:val="center"/>
              <w:outlineLvl w:val="9"/>
              <w:rPr>
                <w:rFonts w:hint="eastAsia" w:ascii="仿宋" w:hAnsi="仿宋" w:eastAsia="仿宋" w:cs="仿宋"/>
                <w:color w:val="auto"/>
                <w:sz w:val="24"/>
                <w:highlight w:val="none"/>
              </w:rPr>
            </w:pPr>
            <w:r>
              <w:rPr>
                <w:rFonts w:hint="eastAsia" w:ascii="仿宋" w:hAnsi="仿宋" w:eastAsia="仿宋" w:cs="仿宋"/>
                <w:color w:val="auto"/>
                <w:sz w:val="24"/>
                <w:highlight w:val="none"/>
              </w:rPr>
              <w:t>3年</w:t>
            </w:r>
          </w:p>
        </w:tc>
        <w:tc>
          <w:tcPr>
            <w:tcW w:w="955" w:type="pct"/>
            <w:tcBorders>
              <w:top w:val="single" w:color="000000" w:sz="4" w:space="0"/>
              <w:left w:val="single" w:color="000000" w:sz="4" w:space="0"/>
              <w:bottom w:val="single" w:color="000000" w:sz="4" w:space="0"/>
            </w:tcBorders>
            <w:noWrap w:val="0"/>
            <w:vAlign w:val="center"/>
          </w:tcPr>
          <w:p w14:paraId="6EEFE823">
            <w:pPr>
              <w:spacing w:line="360" w:lineRule="auto"/>
              <w:jc w:val="center"/>
              <w:outlineLvl w:val="9"/>
              <w:rPr>
                <w:rFonts w:hint="eastAsia" w:ascii="仿宋" w:hAnsi="仿宋" w:eastAsia="仿宋" w:cs="仿宋"/>
                <w:color w:val="auto"/>
                <w:sz w:val="24"/>
                <w:highlight w:val="none"/>
              </w:rPr>
            </w:pPr>
            <w:r>
              <w:rPr>
                <w:rFonts w:hint="eastAsia" w:ascii="仿宋" w:hAnsi="仿宋" w:eastAsia="仿宋" w:cs="仿宋"/>
                <w:color w:val="auto"/>
                <w:sz w:val="24"/>
                <w:highlight w:val="none"/>
              </w:rPr>
              <w:t>泰安校区</w:t>
            </w:r>
          </w:p>
        </w:tc>
        <w:tc>
          <w:tcPr>
            <w:tcW w:w="1265" w:type="pct"/>
            <w:vMerge w:val="restart"/>
            <w:tcBorders>
              <w:top w:val="single" w:color="000000" w:sz="4" w:space="0"/>
              <w:left w:val="single" w:color="000000" w:sz="4" w:space="0"/>
              <w:right w:val="single" w:color="000000" w:sz="4" w:space="0"/>
            </w:tcBorders>
            <w:noWrap w:val="0"/>
            <w:vAlign w:val="center"/>
          </w:tcPr>
          <w:p w14:paraId="05F1E580">
            <w:pPr>
              <w:spacing w:line="360" w:lineRule="auto"/>
              <w:jc w:val="center"/>
              <w:outlineLvl w:val="9"/>
              <w:rPr>
                <w:rFonts w:hint="eastAsia" w:ascii="仿宋" w:hAnsi="仿宋" w:eastAsia="仿宋" w:cs="仿宋"/>
                <w:color w:val="auto"/>
                <w:sz w:val="24"/>
                <w:highlight w:val="none"/>
              </w:rPr>
            </w:pPr>
            <w:r>
              <w:rPr>
                <w:rFonts w:hint="eastAsia" w:ascii="仿宋" w:hAnsi="仿宋" w:eastAsia="仿宋" w:cs="仿宋"/>
                <w:color w:val="auto"/>
                <w:sz w:val="24"/>
                <w:highlight w:val="none"/>
              </w:rPr>
              <w:t>供应商需</w:t>
            </w:r>
            <w:r>
              <w:rPr>
                <w:rFonts w:hint="eastAsia" w:ascii="仿宋" w:hAnsi="仿宋" w:eastAsia="仿宋" w:cs="仿宋"/>
                <w:color w:val="auto"/>
                <w:sz w:val="24"/>
                <w:highlight w:val="none"/>
                <w:lang w:val="en-US" w:eastAsia="zh-CN"/>
              </w:rPr>
              <w:t>提供驻场服务人员</w:t>
            </w:r>
            <w:r>
              <w:rPr>
                <w:rFonts w:hint="eastAsia" w:ascii="仿宋" w:hAnsi="仿宋" w:eastAsia="仿宋" w:cs="仿宋"/>
                <w:color w:val="auto"/>
                <w:sz w:val="24"/>
                <w:highlight w:val="none"/>
              </w:rPr>
              <w:t>至少3名（济南校区）</w:t>
            </w:r>
          </w:p>
          <w:p w14:paraId="6A6DA098">
            <w:pPr>
              <w:spacing w:line="360" w:lineRule="auto"/>
              <w:jc w:val="center"/>
              <w:outlineLvl w:val="9"/>
              <w:rPr>
                <w:rFonts w:hint="eastAsia" w:ascii="仿宋" w:hAnsi="仿宋" w:eastAsia="仿宋" w:cs="仿宋"/>
                <w:color w:val="auto"/>
                <w:sz w:val="24"/>
                <w:highlight w:val="none"/>
              </w:rPr>
            </w:pPr>
          </w:p>
          <w:p w14:paraId="7FCA3BCA">
            <w:pPr>
              <w:spacing w:line="360" w:lineRule="auto"/>
              <w:jc w:val="center"/>
              <w:outlineLvl w:val="9"/>
              <w:rPr>
                <w:rFonts w:hint="eastAsia" w:ascii="仿宋" w:hAnsi="仿宋" w:eastAsia="仿宋" w:cs="仿宋"/>
                <w:color w:val="auto"/>
                <w:sz w:val="24"/>
                <w:highlight w:val="none"/>
              </w:rPr>
            </w:pPr>
          </w:p>
        </w:tc>
      </w:tr>
      <w:tr w14:paraId="79858578">
        <w:tblPrEx>
          <w:tblCellMar>
            <w:top w:w="15" w:type="dxa"/>
            <w:left w:w="15" w:type="dxa"/>
            <w:bottom w:w="15" w:type="dxa"/>
            <w:right w:w="15" w:type="dxa"/>
          </w:tblCellMar>
        </w:tblPrEx>
        <w:trPr>
          <w:trHeight w:val="405" w:hRule="atLeast"/>
        </w:trPr>
        <w:tc>
          <w:tcPr>
            <w:tcW w:w="401" w:type="pct"/>
            <w:tcBorders>
              <w:top w:val="single" w:color="000000" w:sz="4" w:space="0"/>
              <w:left w:val="single" w:color="000000" w:sz="4" w:space="0"/>
              <w:right w:val="single" w:color="000000" w:sz="4" w:space="0"/>
            </w:tcBorders>
            <w:noWrap w:val="0"/>
            <w:vAlign w:val="center"/>
          </w:tcPr>
          <w:p w14:paraId="6DA37757">
            <w:pPr>
              <w:spacing w:line="360" w:lineRule="auto"/>
              <w:jc w:val="center"/>
              <w:outlineLvl w:val="9"/>
              <w:rPr>
                <w:rFonts w:hint="eastAsia" w:ascii="仿宋" w:hAnsi="仿宋" w:eastAsia="仿宋" w:cs="仿宋"/>
                <w:color w:val="auto"/>
                <w:sz w:val="24"/>
                <w:highlight w:val="none"/>
              </w:rPr>
            </w:pPr>
            <w:r>
              <w:rPr>
                <w:rFonts w:hint="eastAsia" w:ascii="仿宋" w:hAnsi="仿宋" w:eastAsia="仿宋" w:cs="仿宋"/>
                <w:color w:val="auto"/>
                <w:sz w:val="24"/>
                <w:highlight w:val="none"/>
              </w:rPr>
              <w:t>2</w:t>
            </w:r>
          </w:p>
        </w:tc>
        <w:tc>
          <w:tcPr>
            <w:tcW w:w="1393" w:type="pct"/>
            <w:tcBorders>
              <w:top w:val="single" w:color="000000" w:sz="4" w:space="0"/>
              <w:left w:val="single" w:color="000000" w:sz="4" w:space="0"/>
              <w:bottom w:val="single" w:color="000000" w:sz="4" w:space="0"/>
              <w:right w:val="single" w:color="000000" w:sz="4" w:space="0"/>
            </w:tcBorders>
            <w:noWrap w:val="0"/>
            <w:vAlign w:val="center"/>
          </w:tcPr>
          <w:p w14:paraId="06C72B57">
            <w:pPr>
              <w:spacing w:line="360" w:lineRule="auto"/>
              <w:jc w:val="center"/>
              <w:outlineLvl w:val="9"/>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二级</w:t>
            </w:r>
            <w:r>
              <w:rPr>
                <w:rFonts w:hint="eastAsia" w:ascii="仿宋" w:hAnsi="仿宋" w:eastAsia="仿宋" w:cs="仿宋"/>
                <w:color w:val="auto"/>
                <w:sz w:val="24"/>
                <w:highlight w:val="none"/>
              </w:rPr>
              <w:t>学院</w:t>
            </w:r>
          </w:p>
        </w:tc>
        <w:tc>
          <w:tcPr>
            <w:tcW w:w="985" w:type="pct"/>
            <w:tcBorders>
              <w:top w:val="single" w:color="000000" w:sz="4" w:space="0"/>
              <w:left w:val="single" w:color="000000" w:sz="4" w:space="0"/>
              <w:bottom w:val="single" w:color="000000" w:sz="4" w:space="0"/>
              <w:right w:val="single" w:color="000000" w:sz="4" w:space="0"/>
            </w:tcBorders>
            <w:noWrap w:val="0"/>
            <w:vAlign w:val="center"/>
          </w:tcPr>
          <w:p w14:paraId="6B09E796">
            <w:pPr>
              <w:spacing w:line="360" w:lineRule="auto"/>
              <w:jc w:val="center"/>
              <w:outlineLvl w:val="9"/>
              <w:rPr>
                <w:rFonts w:hint="eastAsia" w:ascii="仿宋" w:hAnsi="仿宋" w:eastAsia="仿宋" w:cs="仿宋"/>
                <w:color w:val="auto"/>
                <w:sz w:val="24"/>
                <w:highlight w:val="none"/>
              </w:rPr>
            </w:pPr>
            <w:r>
              <w:rPr>
                <w:rFonts w:hint="eastAsia" w:ascii="仿宋" w:hAnsi="仿宋" w:eastAsia="仿宋" w:cs="仿宋"/>
                <w:color w:val="auto"/>
                <w:sz w:val="24"/>
                <w:highlight w:val="none"/>
              </w:rPr>
              <w:t>1.5年</w:t>
            </w:r>
          </w:p>
        </w:tc>
        <w:tc>
          <w:tcPr>
            <w:tcW w:w="955" w:type="pct"/>
            <w:tcBorders>
              <w:top w:val="single" w:color="000000" w:sz="4" w:space="0"/>
              <w:left w:val="single" w:color="000000" w:sz="4" w:space="0"/>
              <w:bottom w:val="single" w:color="000000" w:sz="4" w:space="0"/>
            </w:tcBorders>
            <w:noWrap w:val="0"/>
            <w:vAlign w:val="center"/>
          </w:tcPr>
          <w:p w14:paraId="2CB6BB5D">
            <w:pPr>
              <w:spacing w:line="360" w:lineRule="auto"/>
              <w:jc w:val="center"/>
              <w:outlineLvl w:val="9"/>
              <w:rPr>
                <w:rFonts w:hint="eastAsia" w:ascii="仿宋" w:hAnsi="仿宋" w:eastAsia="仿宋" w:cs="仿宋"/>
                <w:color w:val="auto"/>
                <w:sz w:val="24"/>
                <w:highlight w:val="none"/>
              </w:rPr>
            </w:pPr>
            <w:r>
              <w:rPr>
                <w:rFonts w:hint="eastAsia" w:ascii="仿宋" w:hAnsi="仿宋" w:eastAsia="仿宋" w:cs="仿宋"/>
                <w:color w:val="auto"/>
                <w:sz w:val="24"/>
                <w:highlight w:val="none"/>
              </w:rPr>
              <w:t>济南校区</w:t>
            </w:r>
          </w:p>
        </w:tc>
        <w:tc>
          <w:tcPr>
            <w:tcW w:w="1265" w:type="pct"/>
            <w:vMerge w:val="continue"/>
            <w:tcBorders>
              <w:left w:val="single" w:color="000000" w:sz="4" w:space="0"/>
              <w:right w:val="single" w:color="000000" w:sz="4" w:space="0"/>
            </w:tcBorders>
            <w:noWrap w:val="0"/>
            <w:vAlign w:val="center"/>
          </w:tcPr>
          <w:p w14:paraId="5201687A">
            <w:pPr>
              <w:spacing w:line="360" w:lineRule="auto"/>
              <w:ind w:firstLine="424" w:firstLineChars="177"/>
              <w:jc w:val="center"/>
              <w:outlineLvl w:val="9"/>
              <w:rPr>
                <w:rFonts w:hint="eastAsia" w:ascii="仿宋" w:hAnsi="仿宋" w:eastAsia="仿宋" w:cs="仿宋"/>
                <w:color w:val="auto"/>
                <w:sz w:val="24"/>
                <w:highlight w:val="none"/>
              </w:rPr>
            </w:pPr>
          </w:p>
        </w:tc>
      </w:tr>
      <w:tr w14:paraId="68A3C018">
        <w:tblPrEx>
          <w:tblCellMar>
            <w:top w:w="15" w:type="dxa"/>
            <w:left w:w="15" w:type="dxa"/>
            <w:bottom w:w="15" w:type="dxa"/>
            <w:right w:w="15" w:type="dxa"/>
          </w:tblCellMar>
        </w:tblPrEx>
        <w:trPr>
          <w:trHeight w:val="93" w:hRule="atLeast"/>
        </w:trPr>
        <w:tc>
          <w:tcPr>
            <w:tcW w:w="401" w:type="pct"/>
            <w:tcBorders>
              <w:top w:val="single" w:color="000000" w:sz="4" w:space="0"/>
              <w:left w:val="single" w:color="000000" w:sz="4" w:space="0"/>
              <w:right w:val="single" w:color="000000" w:sz="4" w:space="0"/>
            </w:tcBorders>
            <w:noWrap w:val="0"/>
            <w:vAlign w:val="center"/>
          </w:tcPr>
          <w:p w14:paraId="759642FA">
            <w:pPr>
              <w:spacing w:line="360" w:lineRule="auto"/>
              <w:jc w:val="center"/>
              <w:outlineLvl w:val="9"/>
              <w:rPr>
                <w:rFonts w:hint="eastAsia" w:ascii="仿宋" w:hAnsi="仿宋" w:eastAsia="仿宋" w:cs="仿宋"/>
                <w:color w:val="auto"/>
                <w:sz w:val="24"/>
                <w:highlight w:val="none"/>
              </w:rPr>
            </w:pPr>
            <w:r>
              <w:rPr>
                <w:rFonts w:hint="eastAsia" w:ascii="仿宋" w:hAnsi="仿宋" w:eastAsia="仿宋" w:cs="仿宋"/>
                <w:color w:val="auto"/>
                <w:sz w:val="24"/>
                <w:highlight w:val="none"/>
              </w:rPr>
              <w:t>3</w:t>
            </w:r>
          </w:p>
        </w:tc>
        <w:tc>
          <w:tcPr>
            <w:tcW w:w="1393" w:type="pct"/>
            <w:tcBorders>
              <w:top w:val="single" w:color="000000" w:sz="4" w:space="0"/>
              <w:left w:val="single" w:color="000000" w:sz="4" w:space="0"/>
              <w:bottom w:val="single" w:color="000000" w:sz="4" w:space="0"/>
              <w:right w:val="single" w:color="000000" w:sz="4" w:space="0"/>
            </w:tcBorders>
            <w:noWrap w:val="0"/>
            <w:vAlign w:val="center"/>
          </w:tcPr>
          <w:p w14:paraId="114217CE">
            <w:pPr>
              <w:spacing w:line="360" w:lineRule="auto"/>
              <w:jc w:val="center"/>
              <w:outlineLvl w:val="9"/>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二级</w:t>
            </w:r>
            <w:r>
              <w:rPr>
                <w:rFonts w:hint="eastAsia" w:ascii="仿宋" w:hAnsi="仿宋" w:eastAsia="仿宋" w:cs="仿宋"/>
                <w:color w:val="auto"/>
                <w:sz w:val="24"/>
                <w:highlight w:val="none"/>
              </w:rPr>
              <w:t>学院</w:t>
            </w:r>
          </w:p>
        </w:tc>
        <w:tc>
          <w:tcPr>
            <w:tcW w:w="985" w:type="pct"/>
            <w:tcBorders>
              <w:top w:val="single" w:color="000000" w:sz="4" w:space="0"/>
              <w:left w:val="single" w:color="000000" w:sz="4" w:space="0"/>
              <w:bottom w:val="single" w:color="000000" w:sz="4" w:space="0"/>
              <w:right w:val="single" w:color="000000" w:sz="4" w:space="0"/>
            </w:tcBorders>
            <w:noWrap w:val="0"/>
            <w:vAlign w:val="center"/>
          </w:tcPr>
          <w:p w14:paraId="5C427D9E">
            <w:pPr>
              <w:spacing w:line="360" w:lineRule="auto"/>
              <w:jc w:val="center"/>
              <w:outlineLvl w:val="9"/>
              <w:rPr>
                <w:rFonts w:hint="eastAsia" w:ascii="仿宋" w:hAnsi="仿宋" w:eastAsia="仿宋" w:cs="仿宋"/>
                <w:color w:val="auto"/>
                <w:sz w:val="24"/>
                <w:highlight w:val="none"/>
              </w:rPr>
            </w:pPr>
            <w:r>
              <w:rPr>
                <w:rFonts w:hint="eastAsia" w:ascii="仿宋" w:hAnsi="仿宋" w:eastAsia="仿宋" w:cs="仿宋"/>
                <w:color w:val="auto"/>
                <w:sz w:val="24"/>
                <w:highlight w:val="none"/>
              </w:rPr>
              <w:t>1年</w:t>
            </w:r>
          </w:p>
        </w:tc>
        <w:tc>
          <w:tcPr>
            <w:tcW w:w="955" w:type="pct"/>
            <w:tcBorders>
              <w:top w:val="single" w:color="000000" w:sz="4" w:space="0"/>
              <w:left w:val="single" w:color="000000" w:sz="4" w:space="0"/>
              <w:bottom w:val="single" w:color="000000" w:sz="4" w:space="0"/>
            </w:tcBorders>
            <w:noWrap w:val="0"/>
            <w:vAlign w:val="center"/>
          </w:tcPr>
          <w:p w14:paraId="0D085D27">
            <w:pPr>
              <w:spacing w:line="360" w:lineRule="auto"/>
              <w:jc w:val="center"/>
              <w:outlineLvl w:val="9"/>
              <w:rPr>
                <w:rFonts w:hint="eastAsia" w:ascii="仿宋" w:hAnsi="仿宋" w:eastAsia="仿宋" w:cs="仿宋"/>
                <w:color w:val="auto"/>
                <w:sz w:val="24"/>
                <w:highlight w:val="none"/>
              </w:rPr>
            </w:pPr>
            <w:r>
              <w:rPr>
                <w:rFonts w:hint="eastAsia" w:ascii="仿宋" w:hAnsi="仿宋" w:eastAsia="仿宋" w:cs="仿宋"/>
                <w:color w:val="auto"/>
                <w:sz w:val="24"/>
                <w:highlight w:val="none"/>
              </w:rPr>
              <w:t>泰安校区</w:t>
            </w:r>
          </w:p>
        </w:tc>
        <w:tc>
          <w:tcPr>
            <w:tcW w:w="1265" w:type="pct"/>
            <w:vMerge w:val="continue"/>
            <w:tcBorders>
              <w:left w:val="single" w:color="000000" w:sz="4" w:space="0"/>
              <w:right w:val="single" w:color="000000" w:sz="4" w:space="0"/>
            </w:tcBorders>
            <w:noWrap w:val="0"/>
            <w:vAlign w:val="center"/>
          </w:tcPr>
          <w:p w14:paraId="44C53A97">
            <w:pPr>
              <w:spacing w:line="360" w:lineRule="auto"/>
              <w:ind w:firstLine="424" w:firstLineChars="177"/>
              <w:jc w:val="center"/>
              <w:outlineLvl w:val="9"/>
              <w:rPr>
                <w:rFonts w:hint="eastAsia" w:ascii="仿宋" w:hAnsi="仿宋" w:eastAsia="仿宋" w:cs="仿宋"/>
                <w:color w:val="auto"/>
                <w:sz w:val="24"/>
                <w:highlight w:val="none"/>
              </w:rPr>
            </w:pPr>
          </w:p>
        </w:tc>
      </w:tr>
      <w:tr w14:paraId="2EABF446">
        <w:tblPrEx>
          <w:tblCellMar>
            <w:top w:w="15" w:type="dxa"/>
            <w:left w:w="15" w:type="dxa"/>
            <w:bottom w:w="15" w:type="dxa"/>
            <w:right w:w="15" w:type="dxa"/>
          </w:tblCellMar>
        </w:tblPrEx>
        <w:trPr>
          <w:trHeight w:val="405" w:hRule="atLeast"/>
        </w:trPr>
        <w:tc>
          <w:tcPr>
            <w:tcW w:w="401" w:type="pct"/>
            <w:tcBorders>
              <w:top w:val="single" w:color="000000" w:sz="4" w:space="0"/>
              <w:left w:val="single" w:color="000000" w:sz="4" w:space="0"/>
              <w:right w:val="single" w:color="000000" w:sz="4" w:space="0"/>
            </w:tcBorders>
            <w:noWrap w:val="0"/>
            <w:vAlign w:val="center"/>
          </w:tcPr>
          <w:p w14:paraId="08D71FA8">
            <w:pPr>
              <w:spacing w:line="360" w:lineRule="auto"/>
              <w:jc w:val="center"/>
              <w:outlineLvl w:val="9"/>
              <w:rPr>
                <w:rFonts w:hint="eastAsia" w:ascii="仿宋" w:hAnsi="仿宋" w:eastAsia="仿宋" w:cs="仿宋"/>
                <w:color w:val="auto"/>
                <w:sz w:val="24"/>
                <w:highlight w:val="none"/>
              </w:rPr>
            </w:pPr>
            <w:r>
              <w:rPr>
                <w:rFonts w:hint="eastAsia" w:ascii="仿宋" w:hAnsi="仿宋" w:eastAsia="仿宋" w:cs="仿宋"/>
                <w:color w:val="auto"/>
                <w:sz w:val="24"/>
                <w:highlight w:val="none"/>
              </w:rPr>
              <w:t>4</w:t>
            </w:r>
          </w:p>
        </w:tc>
        <w:tc>
          <w:tcPr>
            <w:tcW w:w="1393" w:type="pct"/>
            <w:tcBorders>
              <w:top w:val="single" w:color="000000" w:sz="4" w:space="0"/>
              <w:left w:val="single" w:color="000000" w:sz="4" w:space="0"/>
              <w:bottom w:val="single" w:color="000000" w:sz="4" w:space="0"/>
              <w:right w:val="single" w:color="000000" w:sz="4" w:space="0"/>
            </w:tcBorders>
            <w:noWrap w:val="0"/>
            <w:vAlign w:val="center"/>
          </w:tcPr>
          <w:p w14:paraId="72A4D1B9">
            <w:pPr>
              <w:spacing w:line="360" w:lineRule="auto"/>
              <w:jc w:val="center"/>
              <w:outlineLvl w:val="9"/>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二级</w:t>
            </w:r>
            <w:r>
              <w:rPr>
                <w:rFonts w:hint="eastAsia" w:ascii="仿宋" w:hAnsi="仿宋" w:eastAsia="仿宋" w:cs="仿宋"/>
                <w:color w:val="auto"/>
                <w:sz w:val="24"/>
                <w:highlight w:val="none"/>
              </w:rPr>
              <w:t>学院</w:t>
            </w:r>
          </w:p>
        </w:tc>
        <w:tc>
          <w:tcPr>
            <w:tcW w:w="985" w:type="pct"/>
            <w:tcBorders>
              <w:top w:val="single" w:color="000000" w:sz="4" w:space="0"/>
              <w:left w:val="single" w:color="000000" w:sz="4" w:space="0"/>
              <w:bottom w:val="single" w:color="000000" w:sz="4" w:space="0"/>
              <w:right w:val="single" w:color="000000" w:sz="4" w:space="0"/>
            </w:tcBorders>
            <w:noWrap w:val="0"/>
            <w:vAlign w:val="center"/>
          </w:tcPr>
          <w:p w14:paraId="3A8F7075">
            <w:pPr>
              <w:spacing w:line="360" w:lineRule="auto"/>
              <w:jc w:val="center"/>
              <w:outlineLvl w:val="9"/>
              <w:rPr>
                <w:rFonts w:hint="eastAsia" w:ascii="仿宋" w:hAnsi="仿宋" w:eastAsia="仿宋" w:cs="仿宋"/>
                <w:color w:val="auto"/>
                <w:sz w:val="24"/>
                <w:highlight w:val="none"/>
              </w:rPr>
            </w:pPr>
            <w:r>
              <w:rPr>
                <w:rFonts w:hint="eastAsia" w:ascii="仿宋" w:hAnsi="仿宋" w:eastAsia="仿宋" w:cs="仿宋"/>
                <w:color w:val="auto"/>
                <w:sz w:val="24"/>
                <w:highlight w:val="none"/>
              </w:rPr>
              <w:t>1年</w:t>
            </w:r>
          </w:p>
        </w:tc>
        <w:tc>
          <w:tcPr>
            <w:tcW w:w="955" w:type="pct"/>
            <w:tcBorders>
              <w:top w:val="single" w:color="000000" w:sz="4" w:space="0"/>
              <w:left w:val="single" w:color="000000" w:sz="4" w:space="0"/>
              <w:bottom w:val="single" w:color="000000" w:sz="4" w:space="0"/>
            </w:tcBorders>
            <w:noWrap w:val="0"/>
            <w:vAlign w:val="center"/>
          </w:tcPr>
          <w:p w14:paraId="47C91FDD">
            <w:pPr>
              <w:spacing w:line="360" w:lineRule="auto"/>
              <w:jc w:val="center"/>
              <w:outlineLvl w:val="9"/>
              <w:rPr>
                <w:rFonts w:hint="eastAsia" w:ascii="仿宋" w:hAnsi="仿宋" w:eastAsia="仿宋" w:cs="仿宋"/>
                <w:color w:val="auto"/>
                <w:sz w:val="24"/>
                <w:highlight w:val="none"/>
              </w:rPr>
            </w:pPr>
            <w:r>
              <w:rPr>
                <w:rFonts w:hint="eastAsia" w:ascii="仿宋" w:hAnsi="仿宋" w:eastAsia="仿宋" w:cs="仿宋"/>
                <w:color w:val="auto"/>
                <w:sz w:val="24"/>
                <w:highlight w:val="none"/>
              </w:rPr>
              <w:t>泰安校区</w:t>
            </w:r>
          </w:p>
        </w:tc>
        <w:tc>
          <w:tcPr>
            <w:tcW w:w="1265" w:type="pct"/>
            <w:vMerge w:val="continue"/>
            <w:tcBorders>
              <w:left w:val="single" w:color="000000" w:sz="4" w:space="0"/>
              <w:right w:val="single" w:color="000000" w:sz="4" w:space="0"/>
            </w:tcBorders>
            <w:noWrap w:val="0"/>
            <w:vAlign w:val="center"/>
          </w:tcPr>
          <w:p w14:paraId="7EA54F0F">
            <w:pPr>
              <w:spacing w:line="360" w:lineRule="auto"/>
              <w:ind w:firstLine="424" w:firstLineChars="177"/>
              <w:jc w:val="center"/>
              <w:outlineLvl w:val="9"/>
              <w:rPr>
                <w:rFonts w:hint="eastAsia" w:ascii="仿宋" w:hAnsi="仿宋" w:eastAsia="仿宋" w:cs="仿宋"/>
                <w:color w:val="auto"/>
                <w:sz w:val="24"/>
                <w:highlight w:val="none"/>
              </w:rPr>
            </w:pPr>
          </w:p>
        </w:tc>
      </w:tr>
      <w:tr w14:paraId="6423B1B9">
        <w:tblPrEx>
          <w:tblCellMar>
            <w:top w:w="15" w:type="dxa"/>
            <w:left w:w="15" w:type="dxa"/>
            <w:bottom w:w="15" w:type="dxa"/>
            <w:right w:w="15" w:type="dxa"/>
          </w:tblCellMar>
        </w:tblPrEx>
        <w:trPr>
          <w:trHeight w:val="405" w:hRule="atLeast"/>
        </w:trPr>
        <w:tc>
          <w:tcPr>
            <w:tcW w:w="401" w:type="pct"/>
            <w:tcBorders>
              <w:top w:val="single" w:color="000000" w:sz="4" w:space="0"/>
              <w:left w:val="single" w:color="000000" w:sz="4" w:space="0"/>
              <w:right w:val="single" w:color="000000" w:sz="4" w:space="0"/>
            </w:tcBorders>
            <w:noWrap w:val="0"/>
            <w:vAlign w:val="center"/>
          </w:tcPr>
          <w:p w14:paraId="6342EF27">
            <w:pPr>
              <w:spacing w:line="360" w:lineRule="auto"/>
              <w:jc w:val="center"/>
              <w:outlineLvl w:val="9"/>
              <w:rPr>
                <w:rFonts w:hint="eastAsia" w:ascii="仿宋" w:hAnsi="仿宋" w:eastAsia="仿宋" w:cs="仿宋"/>
                <w:color w:val="auto"/>
                <w:sz w:val="24"/>
                <w:highlight w:val="none"/>
              </w:rPr>
            </w:pPr>
            <w:r>
              <w:rPr>
                <w:rFonts w:hint="eastAsia" w:ascii="仿宋" w:hAnsi="仿宋" w:eastAsia="仿宋" w:cs="仿宋"/>
                <w:color w:val="auto"/>
                <w:sz w:val="24"/>
                <w:highlight w:val="none"/>
              </w:rPr>
              <w:t>5</w:t>
            </w:r>
          </w:p>
        </w:tc>
        <w:tc>
          <w:tcPr>
            <w:tcW w:w="1393" w:type="pct"/>
            <w:tcBorders>
              <w:top w:val="single" w:color="000000" w:sz="4" w:space="0"/>
              <w:left w:val="single" w:color="000000" w:sz="4" w:space="0"/>
              <w:bottom w:val="single" w:color="000000" w:sz="4" w:space="0"/>
              <w:right w:val="single" w:color="000000" w:sz="4" w:space="0"/>
            </w:tcBorders>
            <w:noWrap w:val="0"/>
            <w:vAlign w:val="center"/>
          </w:tcPr>
          <w:p w14:paraId="5F478FDE">
            <w:pPr>
              <w:spacing w:line="360" w:lineRule="auto"/>
              <w:jc w:val="center"/>
              <w:outlineLvl w:val="9"/>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二级</w:t>
            </w:r>
            <w:r>
              <w:rPr>
                <w:rFonts w:hint="eastAsia" w:ascii="仿宋" w:hAnsi="仿宋" w:eastAsia="仿宋" w:cs="仿宋"/>
                <w:color w:val="auto"/>
                <w:sz w:val="24"/>
                <w:highlight w:val="none"/>
              </w:rPr>
              <w:t>学院</w:t>
            </w:r>
          </w:p>
        </w:tc>
        <w:tc>
          <w:tcPr>
            <w:tcW w:w="985" w:type="pct"/>
            <w:tcBorders>
              <w:top w:val="single" w:color="000000" w:sz="4" w:space="0"/>
              <w:left w:val="single" w:color="000000" w:sz="4" w:space="0"/>
              <w:bottom w:val="single" w:color="000000" w:sz="4" w:space="0"/>
              <w:right w:val="single" w:color="000000" w:sz="4" w:space="0"/>
            </w:tcBorders>
            <w:noWrap w:val="0"/>
            <w:vAlign w:val="center"/>
          </w:tcPr>
          <w:p w14:paraId="5C404780">
            <w:pPr>
              <w:spacing w:line="360" w:lineRule="auto"/>
              <w:jc w:val="center"/>
              <w:outlineLvl w:val="9"/>
              <w:rPr>
                <w:rFonts w:hint="eastAsia" w:ascii="仿宋" w:hAnsi="仿宋" w:eastAsia="仿宋" w:cs="仿宋"/>
                <w:color w:val="auto"/>
                <w:sz w:val="24"/>
                <w:highlight w:val="none"/>
              </w:rPr>
            </w:pPr>
            <w:r>
              <w:rPr>
                <w:rFonts w:hint="eastAsia" w:ascii="仿宋" w:hAnsi="仿宋" w:eastAsia="仿宋" w:cs="仿宋"/>
                <w:color w:val="auto"/>
                <w:sz w:val="24"/>
                <w:highlight w:val="none"/>
              </w:rPr>
              <w:t>1.5年</w:t>
            </w:r>
          </w:p>
        </w:tc>
        <w:tc>
          <w:tcPr>
            <w:tcW w:w="955" w:type="pct"/>
            <w:tcBorders>
              <w:top w:val="single" w:color="000000" w:sz="4" w:space="0"/>
              <w:left w:val="single" w:color="000000" w:sz="4" w:space="0"/>
              <w:bottom w:val="single" w:color="000000" w:sz="4" w:space="0"/>
            </w:tcBorders>
            <w:noWrap w:val="0"/>
            <w:vAlign w:val="center"/>
          </w:tcPr>
          <w:p w14:paraId="4DD61272">
            <w:pPr>
              <w:spacing w:line="360" w:lineRule="auto"/>
              <w:jc w:val="center"/>
              <w:outlineLvl w:val="9"/>
              <w:rPr>
                <w:rFonts w:hint="eastAsia" w:ascii="仿宋" w:hAnsi="仿宋" w:eastAsia="仿宋" w:cs="仿宋"/>
                <w:color w:val="auto"/>
                <w:sz w:val="24"/>
                <w:highlight w:val="none"/>
              </w:rPr>
            </w:pPr>
            <w:r>
              <w:rPr>
                <w:rFonts w:hint="eastAsia" w:ascii="仿宋" w:hAnsi="仿宋" w:eastAsia="仿宋" w:cs="仿宋"/>
                <w:color w:val="auto"/>
                <w:sz w:val="24"/>
                <w:highlight w:val="none"/>
              </w:rPr>
              <w:t>济南校区</w:t>
            </w:r>
          </w:p>
        </w:tc>
        <w:tc>
          <w:tcPr>
            <w:tcW w:w="1265" w:type="pct"/>
            <w:vMerge w:val="continue"/>
            <w:tcBorders>
              <w:left w:val="single" w:color="000000" w:sz="4" w:space="0"/>
              <w:right w:val="single" w:color="000000" w:sz="4" w:space="0"/>
            </w:tcBorders>
            <w:noWrap w:val="0"/>
            <w:vAlign w:val="center"/>
          </w:tcPr>
          <w:p w14:paraId="3FDE65FF">
            <w:pPr>
              <w:spacing w:line="360" w:lineRule="auto"/>
              <w:ind w:firstLine="424" w:firstLineChars="177"/>
              <w:jc w:val="center"/>
              <w:outlineLvl w:val="9"/>
              <w:rPr>
                <w:rFonts w:hint="eastAsia" w:ascii="仿宋" w:hAnsi="仿宋" w:eastAsia="仿宋" w:cs="仿宋"/>
                <w:color w:val="auto"/>
                <w:sz w:val="24"/>
                <w:highlight w:val="none"/>
              </w:rPr>
            </w:pPr>
          </w:p>
        </w:tc>
      </w:tr>
      <w:tr w14:paraId="15BC32A3">
        <w:tblPrEx>
          <w:tblCellMar>
            <w:top w:w="15" w:type="dxa"/>
            <w:left w:w="15" w:type="dxa"/>
            <w:bottom w:w="15" w:type="dxa"/>
            <w:right w:w="15" w:type="dxa"/>
          </w:tblCellMar>
        </w:tblPrEx>
        <w:trPr>
          <w:trHeight w:val="405" w:hRule="atLeast"/>
        </w:trPr>
        <w:tc>
          <w:tcPr>
            <w:tcW w:w="401" w:type="pct"/>
            <w:tcBorders>
              <w:top w:val="single" w:color="000000" w:sz="4" w:space="0"/>
              <w:left w:val="single" w:color="000000" w:sz="4" w:space="0"/>
              <w:right w:val="single" w:color="000000" w:sz="4" w:space="0"/>
            </w:tcBorders>
            <w:noWrap w:val="0"/>
            <w:vAlign w:val="center"/>
          </w:tcPr>
          <w:p w14:paraId="5B375154">
            <w:pPr>
              <w:spacing w:line="360" w:lineRule="auto"/>
              <w:jc w:val="center"/>
              <w:outlineLvl w:val="9"/>
              <w:rPr>
                <w:rFonts w:hint="eastAsia" w:ascii="仿宋" w:hAnsi="仿宋" w:eastAsia="仿宋" w:cs="仿宋"/>
                <w:color w:val="auto"/>
                <w:sz w:val="24"/>
                <w:highlight w:val="none"/>
              </w:rPr>
            </w:pPr>
            <w:r>
              <w:rPr>
                <w:rFonts w:hint="eastAsia" w:ascii="仿宋" w:hAnsi="仿宋" w:eastAsia="仿宋" w:cs="仿宋"/>
                <w:color w:val="auto"/>
                <w:sz w:val="24"/>
                <w:highlight w:val="none"/>
              </w:rPr>
              <w:t>6</w:t>
            </w:r>
          </w:p>
        </w:tc>
        <w:tc>
          <w:tcPr>
            <w:tcW w:w="1393" w:type="pct"/>
            <w:tcBorders>
              <w:top w:val="single" w:color="000000" w:sz="4" w:space="0"/>
              <w:left w:val="single" w:color="000000" w:sz="4" w:space="0"/>
              <w:bottom w:val="single" w:color="000000" w:sz="4" w:space="0"/>
            </w:tcBorders>
            <w:noWrap w:val="0"/>
            <w:vAlign w:val="center"/>
          </w:tcPr>
          <w:p w14:paraId="09ABA35A">
            <w:pPr>
              <w:spacing w:line="360" w:lineRule="auto"/>
              <w:jc w:val="center"/>
              <w:outlineLvl w:val="9"/>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二级</w:t>
            </w:r>
            <w:r>
              <w:rPr>
                <w:rFonts w:hint="eastAsia" w:ascii="仿宋" w:hAnsi="仿宋" w:eastAsia="仿宋" w:cs="仿宋"/>
                <w:color w:val="auto"/>
                <w:sz w:val="24"/>
                <w:highlight w:val="none"/>
              </w:rPr>
              <w:t>学院</w:t>
            </w:r>
          </w:p>
        </w:tc>
        <w:tc>
          <w:tcPr>
            <w:tcW w:w="985" w:type="pct"/>
            <w:tcBorders>
              <w:top w:val="single" w:color="000000" w:sz="4" w:space="0"/>
              <w:left w:val="single" w:color="000000" w:sz="4" w:space="0"/>
              <w:bottom w:val="single" w:color="000000" w:sz="4" w:space="0"/>
              <w:right w:val="single" w:color="000000" w:sz="4" w:space="0"/>
            </w:tcBorders>
            <w:noWrap w:val="0"/>
            <w:vAlign w:val="center"/>
          </w:tcPr>
          <w:p w14:paraId="25637D6C">
            <w:pPr>
              <w:spacing w:line="360" w:lineRule="auto"/>
              <w:jc w:val="center"/>
              <w:outlineLvl w:val="9"/>
              <w:rPr>
                <w:rFonts w:hint="eastAsia" w:ascii="仿宋" w:hAnsi="仿宋" w:eastAsia="仿宋" w:cs="仿宋"/>
                <w:color w:val="auto"/>
                <w:sz w:val="24"/>
                <w:highlight w:val="none"/>
              </w:rPr>
            </w:pPr>
            <w:r>
              <w:rPr>
                <w:rFonts w:hint="eastAsia" w:ascii="仿宋" w:hAnsi="仿宋" w:eastAsia="仿宋" w:cs="仿宋"/>
                <w:color w:val="auto"/>
                <w:sz w:val="24"/>
                <w:highlight w:val="none"/>
              </w:rPr>
              <w:t>4年</w:t>
            </w:r>
          </w:p>
        </w:tc>
        <w:tc>
          <w:tcPr>
            <w:tcW w:w="955" w:type="pct"/>
            <w:tcBorders>
              <w:top w:val="single" w:color="000000" w:sz="4" w:space="0"/>
              <w:left w:val="single" w:color="000000" w:sz="4" w:space="0"/>
              <w:bottom w:val="single" w:color="000000" w:sz="4" w:space="0"/>
              <w:right w:val="single" w:color="000000" w:sz="4" w:space="0"/>
            </w:tcBorders>
            <w:noWrap w:val="0"/>
            <w:vAlign w:val="center"/>
          </w:tcPr>
          <w:p w14:paraId="200F0BB3">
            <w:pPr>
              <w:spacing w:line="360" w:lineRule="auto"/>
              <w:jc w:val="center"/>
              <w:outlineLvl w:val="9"/>
              <w:rPr>
                <w:rFonts w:hint="eastAsia" w:ascii="仿宋" w:hAnsi="仿宋" w:eastAsia="仿宋" w:cs="仿宋"/>
                <w:color w:val="auto"/>
                <w:sz w:val="24"/>
                <w:highlight w:val="none"/>
              </w:rPr>
            </w:pPr>
            <w:r>
              <w:rPr>
                <w:rFonts w:hint="eastAsia" w:ascii="仿宋" w:hAnsi="仿宋" w:eastAsia="仿宋" w:cs="仿宋"/>
                <w:color w:val="auto"/>
                <w:sz w:val="24"/>
                <w:highlight w:val="none"/>
              </w:rPr>
              <w:t>泰安校区</w:t>
            </w:r>
          </w:p>
        </w:tc>
        <w:tc>
          <w:tcPr>
            <w:tcW w:w="1265" w:type="pct"/>
            <w:vMerge w:val="continue"/>
            <w:tcBorders>
              <w:left w:val="single" w:color="000000" w:sz="4" w:space="0"/>
              <w:right w:val="single" w:color="000000" w:sz="4" w:space="0"/>
            </w:tcBorders>
            <w:noWrap w:val="0"/>
            <w:vAlign w:val="center"/>
          </w:tcPr>
          <w:p w14:paraId="538669FA">
            <w:pPr>
              <w:spacing w:line="360" w:lineRule="auto"/>
              <w:ind w:firstLine="424" w:firstLineChars="177"/>
              <w:jc w:val="center"/>
              <w:outlineLvl w:val="9"/>
              <w:rPr>
                <w:rFonts w:hint="eastAsia" w:ascii="仿宋" w:hAnsi="仿宋" w:eastAsia="仿宋" w:cs="仿宋"/>
                <w:color w:val="auto"/>
                <w:sz w:val="24"/>
                <w:highlight w:val="none"/>
              </w:rPr>
            </w:pPr>
          </w:p>
        </w:tc>
      </w:tr>
      <w:tr w14:paraId="4B0CA0B1">
        <w:tblPrEx>
          <w:tblCellMar>
            <w:top w:w="15" w:type="dxa"/>
            <w:left w:w="15" w:type="dxa"/>
            <w:bottom w:w="15" w:type="dxa"/>
            <w:right w:w="15" w:type="dxa"/>
          </w:tblCellMar>
        </w:tblPrEx>
        <w:trPr>
          <w:trHeight w:val="405" w:hRule="atLeast"/>
        </w:trPr>
        <w:tc>
          <w:tcPr>
            <w:tcW w:w="401" w:type="pct"/>
            <w:tcBorders>
              <w:top w:val="single" w:color="000000" w:sz="4" w:space="0"/>
              <w:left w:val="single" w:color="000000" w:sz="4" w:space="0"/>
              <w:right w:val="single" w:color="000000" w:sz="4" w:space="0"/>
            </w:tcBorders>
            <w:noWrap w:val="0"/>
            <w:vAlign w:val="center"/>
          </w:tcPr>
          <w:p w14:paraId="0800039B">
            <w:pPr>
              <w:spacing w:line="360" w:lineRule="auto"/>
              <w:jc w:val="center"/>
              <w:outlineLvl w:val="9"/>
              <w:rPr>
                <w:rFonts w:hint="eastAsia" w:ascii="仿宋" w:hAnsi="仿宋" w:eastAsia="仿宋" w:cs="仿宋"/>
                <w:color w:val="auto"/>
                <w:sz w:val="24"/>
                <w:highlight w:val="none"/>
              </w:rPr>
            </w:pPr>
            <w:r>
              <w:rPr>
                <w:rFonts w:hint="eastAsia" w:ascii="仿宋" w:hAnsi="仿宋" w:eastAsia="仿宋" w:cs="仿宋"/>
                <w:color w:val="auto"/>
                <w:sz w:val="24"/>
                <w:highlight w:val="none"/>
              </w:rPr>
              <w:t>7</w:t>
            </w:r>
          </w:p>
        </w:tc>
        <w:tc>
          <w:tcPr>
            <w:tcW w:w="1393" w:type="pct"/>
            <w:tcBorders>
              <w:top w:val="single" w:color="000000" w:sz="4" w:space="0"/>
              <w:left w:val="single" w:color="000000" w:sz="4" w:space="0"/>
              <w:bottom w:val="single" w:color="000000" w:sz="4" w:space="0"/>
            </w:tcBorders>
            <w:noWrap w:val="0"/>
            <w:vAlign w:val="center"/>
          </w:tcPr>
          <w:p w14:paraId="425CC166">
            <w:pPr>
              <w:spacing w:line="360" w:lineRule="auto"/>
              <w:jc w:val="center"/>
              <w:outlineLvl w:val="9"/>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二级</w:t>
            </w:r>
            <w:r>
              <w:rPr>
                <w:rFonts w:hint="eastAsia" w:ascii="仿宋" w:hAnsi="仿宋" w:eastAsia="仿宋" w:cs="仿宋"/>
                <w:color w:val="auto"/>
                <w:sz w:val="24"/>
                <w:highlight w:val="none"/>
              </w:rPr>
              <w:t>学院</w:t>
            </w:r>
          </w:p>
        </w:tc>
        <w:tc>
          <w:tcPr>
            <w:tcW w:w="985" w:type="pct"/>
            <w:tcBorders>
              <w:top w:val="single" w:color="000000" w:sz="4" w:space="0"/>
              <w:left w:val="single" w:color="000000" w:sz="4" w:space="0"/>
              <w:bottom w:val="single" w:color="000000" w:sz="4" w:space="0"/>
              <w:right w:val="single" w:color="000000" w:sz="4" w:space="0"/>
            </w:tcBorders>
            <w:noWrap w:val="0"/>
            <w:vAlign w:val="center"/>
          </w:tcPr>
          <w:p w14:paraId="6D6C4A6B">
            <w:pPr>
              <w:spacing w:line="360" w:lineRule="auto"/>
              <w:jc w:val="center"/>
              <w:outlineLvl w:val="9"/>
              <w:rPr>
                <w:rFonts w:hint="eastAsia" w:ascii="仿宋" w:hAnsi="仿宋" w:eastAsia="仿宋" w:cs="仿宋"/>
                <w:color w:val="auto"/>
                <w:sz w:val="24"/>
                <w:highlight w:val="none"/>
              </w:rPr>
            </w:pPr>
            <w:r>
              <w:rPr>
                <w:rFonts w:hint="eastAsia" w:ascii="仿宋" w:hAnsi="仿宋" w:eastAsia="仿宋" w:cs="仿宋"/>
                <w:color w:val="auto"/>
                <w:sz w:val="24"/>
                <w:highlight w:val="none"/>
              </w:rPr>
              <w:t>5年</w:t>
            </w:r>
          </w:p>
        </w:tc>
        <w:tc>
          <w:tcPr>
            <w:tcW w:w="955" w:type="pct"/>
            <w:tcBorders>
              <w:top w:val="single" w:color="000000" w:sz="4" w:space="0"/>
              <w:left w:val="single" w:color="000000" w:sz="4" w:space="0"/>
              <w:bottom w:val="single" w:color="000000" w:sz="4" w:space="0"/>
              <w:right w:val="single" w:color="000000" w:sz="4" w:space="0"/>
            </w:tcBorders>
            <w:noWrap w:val="0"/>
            <w:vAlign w:val="center"/>
          </w:tcPr>
          <w:p w14:paraId="7293A53B">
            <w:pPr>
              <w:spacing w:line="360" w:lineRule="auto"/>
              <w:jc w:val="center"/>
              <w:outlineLvl w:val="9"/>
              <w:rPr>
                <w:rFonts w:hint="eastAsia" w:ascii="仿宋" w:hAnsi="仿宋" w:eastAsia="仿宋" w:cs="仿宋"/>
                <w:color w:val="auto"/>
                <w:sz w:val="24"/>
                <w:highlight w:val="none"/>
              </w:rPr>
            </w:pPr>
            <w:r>
              <w:rPr>
                <w:rFonts w:hint="eastAsia" w:ascii="仿宋" w:hAnsi="仿宋" w:eastAsia="仿宋" w:cs="仿宋"/>
                <w:color w:val="auto"/>
                <w:sz w:val="24"/>
                <w:highlight w:val="none"/>
              </w:rPr>
              <w:t>济南校区</w:t>
            </w:r>
          </w:p>
        </w:tc>
        <w:tc>
          <w:tcPr>
            <w:tcW w:w="1265" w:type="pct"/>
            <w:vMerge w:val="continue"/>
            <w:tcBorders>
              <w:left w:val="single" w:color="000000" w:sz="4" w:space="0"/>
              <w:right w:val="single" w:color="000000" w:sz="4" w:space="0"/>
            </w:tcBorders>
            <w:noWrap w:val="0"/>
            <w:vAlign w:val="center"/>
          </w:tcPr>
          <w:p w14:paraId="066E5A20">
            <w:pPr>
              <w:spacing w:line="360" w:lineRule="auto"/>
              <w:ind w:firstLine="424" w:firstLineChars="177"/>
              <w:jc w:val="center"/>
              <w:outlineLvl w:val="9"/>
              <w:rPr>
                <w:rFonts w:hint="eastAsia" w:ascii="仿宋" w:hAnsi="仿宋" w:eastAsia="仿宋" w:cs="仿宋"/>
                <w:color w:val="auto"/>
                <w:sz w:val="24"/>
                <w:highlight w:val="none"/>
              </w:rPr>
            </w:pPr>
          </w:p>
        </w:tc>
      </w:tr>
      <w:tr w14:paraId="5F20E3B9">
        <w:tblPrEx>
          <w:tblCellMar>
            <w:top w:w="15" w:type="dxa"/>
            <w:left w:w="15" w:type="dxa"/>
            <w:bottom w:w="15" w:type="dxa"/>
            <w:right w:w="15" w:type="dxa"/>
          </w:tblCellMar>
        </w:tblPrEx>
        <w:trPr>
          <w:trHeight w:val="405" w:hRule="atLeast"/>
        </w:trPr>
        <w:tc>
          <w:tcPr>
            <w:tcW w:w="401" w:type="pct"/>
            <w:tcBorders>
              <w:top w:val="single" w:color="000000" w:sz="4" w:space="0"/>
              <w:left w:val="single" w:color="000000" w:sz="4" w:space="0"/>
              <w:right w:val="single" w:color="000000" w:sz="4" w:space="0"/>
            </w:tcBorders>
            <w:noWrap w:val="0"/>
            <w:vAlign w:val="center"/>
          </w:tcPr>
          <w:p w14:paraId="6E015EBC">
            <w:pPr>
              <w:spacing w:line="360" w:lineRule="auto"/>
              <w:jc w:val="center"/>
              <w:outlineLvl w:val="9"/>
              <w:rPr>
                <w:rFonts w:hint="eastAsia" w:ascii="仿宋" w:hAnsi="仿宋" w:eastAsia="仿宋" w:cs="仿宋"/>
                <w:color w:val="auto"/>
                <w:sz w:val="24"/>
                <w:highlight w:val="none"/>
              </w:rPr>
            </w:pPr>
            <w:r>
              <w:rPr>
                <w:rFonts w:hint="eastAsia" w:ascii="仿宋" w:hAnsi="仿宋" w:eastAsia="仿宋" w:cs="仿宋"/>
                <w:color w:val="auto"/>
                <w:sz w:val="24"/>
                <w:highlight w:val="none"/>
              </w:rPr>
              <w:t>8</w:t>
            </w:r>
          </w:p>
        </w:tc>
        <w:tc>
          <w:tcPr>
            <w:tcW w:w="1393" w:type="pct"/>
            <w:tcBorders>
              <w:top w:val="single" w:color="000000" w:sz="4" w:space="0"/>
              <w:left w:val="single" w:color="000000" w:sz="4" w:space="0"/>
              <w:bottom w:val="single" w:color="000000" w:sz="4" w:space="0"/>
            </w:tcBorders>
            <w:noWrap w:val="0"/>
            <w:vAlign w:val="center"/>
          </w:tcPr>
          <w:p w14:paraId="33B07650">
            <w:pPr>
              <w:spacing w:line="360" w:lineRule="auto"/>
              <w:jc w:val="center"/>
              <w:outlineLvl w:val="9"/>
              <w:rPr>
                <w:rFonts w:hint="eastAsia" w:ascii="仿宋" w:hAnsi="仿宋" w:eastAsia="仿宋" w:cs="仿宋"/>
                <w:color w:val="auto"/>
                <w:sz w:val="24"/>
                <w:highlight w:val="none"/>
              </w:rPr>
            </w:pPr>
            <w:r>
              <w:rPr>
                <w:rFonts w:hint="eastAsia" w:ascii="仿宋" w:hAnsi="仿宋" w:eastAsia="仿宋" w:cs="仿宋"/>
                <w:color w:val="auto"/>
                <w:sz w:val="24"/>
                <w:highlight w:val="none"/>
              </w:rPr>
              <w:t>独立法人单位</w:t>
            </w:r>
          </w:p>
        </w:tc>
        <w:tc>
          <w:tcPr>
            <w:tcW w:w="985" w:type="pct"/>
            <w:tcBorders>
              <w:top w:val="single" w:color="000000" w:sz="4" w:space="0"/>
              <w:left w:val="single" w:color="000000" w:sz="4" w:space="0"/>
              <w:bottom w:val="single" w:color="000000" w:sz="4" w:space="0"/>
              <w:right w:val="single" w:color="000000" w:sz="4" w:space="0"/>
            </w:tcBorders>
            <w:noWrap w:val="0"/>
            <w:vAlign w:val="center"/>
          </w:tcPr>
          <w:p w14:paraId="6089F53B">
            <w:pPr>
              <w:spacing w:line="360" w:lineRule="auto"/>
              <w:jc w:val="center"/>
              <w:outlineLvl w:val="9"/>
              <w:rPr>
                <w:rFonts w:hint="eastAsia" w:ascii="仿宋" w:hAnsi="仿宋" w:eastAsia="仿宋" w:cs="仿宋"/>
                <w:color w:val="auto"/>
                <w:sz w:val="24"/>
                <w:highlight w:val="none"/>
              </w:rPr>
            </w:pPr>
            <w:r>
              <w:rPr>
                <w:rFonts w:hint="eastAsia" w:ascii="仿宋" w:hAnsi="仿宋" w:eastAsia="仿宋" w:cs="仿宋"/>
                <w:color w:val="auto"/>
                <w:sz w:val="24"/>
                <w:highlight w:val="none"/>
              </w:rPr>
              <w:t>4年</w:t>
            </w:r>
          </w:p>
        </w:tc>
        <w:tc>
          <w:tcPr>
            <w:tcW w:w="955" w:type="pct"/>
            <w:tcBorders>
              <w:top w:val="single" w:color="000000" w:sz="4" w:space="0"/>
              <w:left w:val="single" w:color="000000" w:sz="4" w:space="0"/>
              <w:bottom w:val="single" w:color="000000" w:sz="4" w:space="0"/>
              <w:right w:val="single" w:color="000000" w:sz="4" w:space="0"/>
            </w:tcBorders>
            <w:noWrap w:val="0"/>
            <w:vAlign w:val="center"/>
          </w:tcPr>
          <w:p w14:paraId="78D317E2">
            <w:pPr>
              <w:spacing w:line="360" w:lineRule="auto"/>
              <w:jc w:val="center"/>
              <w:outlineLvl w:val="9"/>
              <w:rPr>
                <w:rFonts w:hint="eastAsia" w:ascii="仿宋" w:hAnsi="仿宋" w:eastAsia="仿宋" w:cs="仿宋"/>
                <w:color w:val="auto"/>
                <w:sz w:val="24"/>
                <w:highlight w:val="none"/>
              </w:rPr>
            </w:pPr>
            <w:r>
              <w:rPr>
                <w:rFonts w:hint="eastAsia" w:ascii="仿宋" w:hAnsi="仿宋" w:eastAsia="仿宋" w:cs="仿宋"/>
                <w:color w:val="auto"/>
                <w:sz w:val="24"/>
                <w:highlight w:val="none"/>
              </w:rPr>
              <w:t>济南</w:t>
            </w:r>
          </w:p>
        </w:tc>
        <w:tc>
          <w:tcPr>
            <w:tcW w:w="1265" w:type="pct"/>
            <w:vMerge w:val="continue"/>
            <w:tcBorders>
              <w:left w:val="single" w:color="000000" w:sz="4" w:space="0"/>
              <w:right w:val="single" w:color="000000" w:sz="4" w:space="0"/>
            </w:tcBorders>
            <w:noWrap w:val="0"/>
            <w:vAlign w:val="center"/>
          </w:tcPr>
          <w:p w14:paraId="23D25F09">
            <w:pPr>
              <w:spacing w:line="360" w:lineRule="auto"/>
              <w:jc w:val="center"/>
              <w:outlineLvl w:val="9"/>
              <w:rPr>
                <w:rFonts w:hint="eastAsia" w:ascii="仿宋" w:hAnsi="仿宋" w:eastAsia="仿宋" w:cs="仿宋"/>
                <w:color w:val="auto"/>
                <w:sz w:val="24"/>
                <w:highlight w:val="none"/>
              </w:rPr>
            </w:pPr>
          </w:p>
        </w:tc>
      </w:tr>
      <w:tr w14:paraId="7FBB77CD">
        <w:tblPrEx>
          <w:tblCellMar>
            <w:top w:w="15" w:type="dxa"/>
            <w:left w:w="15" w:type="dxa"/>
            <w:bottom w:w="15" w:type="dxa"/>
            <w:right w:w="15" w:type="dxa"/>
          </w:tblCellMar>
        </w:tblPrEx>
        <w:trPr>
          <w:trHeight w:val="405" w:hRule="atLeast"/>
        </w:trPr>
        <w:tc>
          <w:tcPr>
            <w:tcW w:w="401" w:type="pct"/>
            <w:tcBorders>
              <w:top w:val="single" w:color="000000" w:sz="4" w:space="0"/>
              <w:left w:val="single" w:color="000000" w:sz="4" w:space="0"/>
              <w:bottom w:val="single" w:color="000000" w:sz="4" w:space="0"/>
              <w:right w:val="single" w:color="000000" w:sz="4" w:space="0"/>
            </w:tcBorders>
            <w:noWrap w:val="0"/>
            <w:vAlign w:val="center"/>
          </w:tcPr>
          <w:p w14:paraId="77794AA6">
            <w:pPr>
              <w:spacing w:line="360" w:lineRule="auto"/>
              <w:jc w:val="center"/>
              <w:outlineLvl w:val="9"/>
              <w:rPr>
                <w:rFonts w:hint="eastAsia" w:ascii="仿宋" w:hAnsi="仿宋" w:eastAsia="仿宋" w:cs="仿宋"/>
                <w:color w:val="auto"/>
                <w:sz w:val="24"/>
                <w:highlight w:val="none"/>
              </w:rPr>
            </w:pPr>
            <w:r>
              <w:rPr>
                <w:rFonts w:hint="eastAsia" w:ascii="仿宋" w:hAnsi="仿宋" w:eastAsia="仿宋" w:cs="仿宋"/>
                <w:color w:val="auto"/>
                <w:sz w:val="24"/>
                <w:highlight w:val="none"/>
              </w:rPr>
              <w:t>9</w:t>
            </w:r>
          </w:p>
        </w:tc>
        <w:tc>
          <w:tcPr>
            <w:tcW w:w="1393" w:type="pct"/>
            <w:tcBorders>
              <w:top w:val="single" w:color="000000" w:sz="4" w:space="0"/>
              <w:left w:val="single" w:color="000000" w:sz="4" w:space="0"/>
              <w:bottom w:val="single" w:color="000000" w:sz="4" w:space="0"/>
            </w:tcBorders>
            <w:noWrap w:val="0"/>
            <w:vAlign w:val="center"/>
          </w:tcPr>
          <w:p w14:paraId="3D247089">
            <w:pPr>
              <w:spacing w:line="360" w:lineRule="auto"/>
              <w:jc w:val="center"/>
              <w:outlineLvl w:val="9"/>
              <w:rPr>
                <w:rFonts w:hint="eastAsia" w:ascii="仿宋" w:hAnsi="仿宋" w:eastAsia="仿宋" w:cs="仿宋"/>
                <w:color w:val="auto"/>
                <w:sz w:val="24"/>
                <w:highlight w:val="none"/>
              </w:rPr>
            </w:pPr>
            <w:r>
              <w:rPr>
                <w:rFonts w:hint="eastAsia" w:ascii="仿宋" w:hAnsi="仿宋" w:eastAsia="仿宋" w:cs="仿宋"/>
                <w:color w:val="auto"/>
                <w:sz w:val="24"/>
                <w:highlight w:val="none"/>
              </w:rPr>
              <w:t>独立法人单位</w:t>
            </w:r>
          </w:p>
        </w:tc>
        <w:tc>
          <w:tcPr>
            <w:tcW w:w="985" w:type="pct"/>
            <w:tcBorders>
              <w:top w:val="single" w:color="000000" w:sz="4" w:space="0"/>
              <w:left w:val="single" w:color="000000" w:sz="4" w:space="0"/>
              <w:bottom w:val="single" w:color="000000" w:sz="4" w:space="0"/>
              <w:right w:val="single" w:color="000000" w:sz="4" w:space="0"/>
            </w:tcBorders>
            <w:noWrap w:val="0"/>
            <w:vAlign w:val="center"/>
          </w:tcPr>
          <w:p w14:paraId="5801C61D">
            <w:pPr>
              <w:spacing w:line="360" w:lineRule="auto"/>
              <w:jc w:val="center"/>
              <w:outlineLvl w:val="9"/>
              <w:rPr>
                <w:rFonts w:hint="eastAsia" w:ascii="仿宋" w:hAnsi="仿宋" w:eastAsia="仿宋" w:cs="仿宋"/>
                <w:color w:val="auto"/>
                <w:sz w:val="24"/>
                <w:highlight w:val="none"/>
              </w:rPr>
            </w:pPr>
            <w:r>
              <w:rPr>
                <w:rFonts w:hint="eastAsia" w:ascii="仿宋" w:hAnsi="仿宋" w:eastAsia="仿宋" w:cs="仿宋"/>
                <w:color w:val="auto"/>
                <w:sz w:val="24"/>
                <w:highlight w:val="none"/>
              </w:rPr>
              <w:t>1.5年</w:t>
            </w:r>
          </w:p>
        </w:tc>
        <w:tc>
          <w:tcPr>
            <w:tcW w:w="955" w:type="pct"/>
            <w:tcBorders>
              <w:top w:val="single" w:color="000000" w:sz="4" w:space="0"/>
              <w:left w:val="single" w:color="000000" w:sz="4" w:space="0"/>
              <w:bottom w:val="single" w:color="000000" w:sz="4" w:space="0"/>
              <w:right w:val="single" w:color="000000" w:sz="4" w:space="0"/>
            </w:tcBorders>
            <w:noWrap w:val="0"/>
            <w:vAlign w:val="center"/>
          </w:tcPr>
          <w:p w14:paraId="74EAFC2F">
            <w:pPr>
              <w:spacing w:line="360" w:lineRule="auto"/>
              <w:jc w:val="center"/>
              <w:outlineLvl w:val="9"/>
              <w:rPr>
                <w:rFonts w:hint="eastAsia" w:ascii="仿宋" w:hAnsi="仿宋" w:eastAsia="仿宋" w:cs="仿宋"/>
                <w:color w:val="auto"/>
                <w:sz w:val="24"/>
                <w:highlight w:val="none"/>
              </w:rPr>
            </w:pPr>
            <w:r>
              <w:rPr>
                <w:rFonts w:hint="eastAsia" w:ascii="仿宋" w:hAnsi="仿宋" w:eastAsia="仿宋" w:cs="仿宋"/>
                <w:color w:val="auto"/>
                <w:sz w:val="24"/>
                <w:highlight w:val="none"/>
              </w:rPr>
              <w:t>济南</w:t>
            </w:r>
          </w:p>
        </w:tc>
        <w:tc>
          <w:tcPr>
            <w:tcW w:w="1265" w:type="pct"/>
            <w:vMerge w:val="continue"/>
            <w:tcBorders>
              <w:left w:val="single" w:color="000000" w:sz="4" w:space="0"/>
              <w:right w:val="single" w:color="000000" w:sz="4" w:space="0"/>
            </w:tcBorders>
            <w:noWrap w:val="0"/>
            <w:vAlign w:val="center"/>
          </w:tcPr>
          <w:p w14:paraId="2A7A9C4D">
            <w:pPr>
              <w:spacing w:line="360" w:lineRule="auto"/>
              <w:jc w:val="center"/>
              <w:outlineLvl w:val="9"/>
              <w:rPr>
                <w:rFonts w:hint="eastAsia" w:ascii="仿宋" w:hAnsi="仿宋" w:eastAsia="仿宋" w:cs="仿宋"/>
                <w:color w:val="auto"/>
                <w:sz w:val="24"/>
                <w:highlight w:val="none"/>
              </w:rPr>
            </w:pPr>
          </w:p>
        </w:tc>
      </w:tr>
      <w:tr w14:paraId="215A7E48">
        <w:tblPrEx>
          <w:tblCellMar>
            <w:top w:w="15" w:type="dxa"/>
            <w:left w:w="15" w:type="dxa"/>
            <w:bottom w:w="15" w:type="dxa"/>
            <w:right w:w="15" w:type="dxa"/>
          </w:tblCellMar>
        </w:tblPrEx>
        <w:trPr>
          <w:trHeight w:val="405" w:hRule="atLeast"/>
        </w:trPr>
        <w:tc>
          <w:tcPr>
            <w:tcW w:w="401" w:type="pct"/>
            <w:tcBorders>
              <w:top w:val="single" w:color="000000" w:sz="4" w:space="0"/>
              <w:left w:val="single" w:color="000000" w:sz="4" w:space="0"/>
              <w:bottom w:val="single" w:color="000000" w:sz="4" w:space="0"/>
              <w:right w:val="single" w:color="000000" w:sz="4" w:space="0"/>
            </w:tcBorders>
            <w:noWrap w:val="0"/>
            <w:vAlign w:val="center"/>
          </w:tcPr>
          <w:p w14:paraId="4E8FEC30">
            <w:pPr>
              <w:spacing w:line="360" w:lineRule="auto"/>
              <w:jc w:val="center"/>
              <w:outlineLvl w:val="9"/>
              <w:rPr>
                <w:rFonts w:hint="eastAsia" w:ascii="仿宋" w:hAnsi="仿宋" w:eastAsia="仿宋" w:cs="仿宋"/>
                <w:color w:val="auto"/>
                <w:sz w:val="24"/>
                <w:highlight w:val="none"/>
              </w:rPr>
            </w:pPr>
            <w:r>
              <w:rPr>
                <w:rFonts w:hint="eastAsia" w:ascii="仿宋" w:hAnsi="仿宋" w:eastAsia="仿宋" w:cs="仿宋"/>
                <w:color w:val="auto"/>
                <w:sz w:val="24"/>
                <w:highlight w:val="none"/>
              </w:rPr>
              <w:t>10</w:t>
            </w:r>
          </w:p>
        </w:tc>
        <w:tc>
          <w:tcPr>
            <w:tcW w:w="1393" w:type="pct"/>
            <w:tcBorders>
              <w:top w:val="single" w:color="000000" w:sz="4" w:space="0"/>
              <w:left w:val="single" w:color="000000" w:sz="4" w:space="0"/>
              <w:bottom w:val="single" w:color="000000" w:sz="4" w:space="0"/>
            </w:tcBorders>
            <w:noWrap w:val="0"/>
            <w:vAlign w:val="center"/>
          </w:tcPr>
          <w:p w14:paraId="0B6E5703">
            <w:pPr>
              <w:spacing w:line="360" w:lineRule="auto"/>
              <w:jc w:val="center"/>
              <w:outlineLvl w:val="9"/>
              <w:rPr>
                <w:rFonts w:hint="eastAsia" w:ascii="仿宋" w:hAnsi="仿宋" w:eastAsia="仿宋" w:cs="仿宋"/>
                <w:color w:val="auto"/>
                <w:sz w:val="24"/>
                <w:highlight w:val="none"/>
              </w:rPr>
            </w:pPr>
            <w:r>
              <w:rPr>
                <w:rFonts w:hint="eastAsia" w:ascii="仿宋" w:hAnsi="仿宋" w:eastAsia="仿宋" w:cs="仿宋"/>
                <w:color w:val="auto"/>
                <w:sz w:val="24"/>
                <w:highlight w:val="none"/>
              </w:rPr>
              <w:t>独立法人单位</w:t>
            </w:r>
          </w:p>
        </w:tc>
        <w:tc>
          <w:tcPr>
            <w:tcW w:w="985" w:type="pct"/>
            <w:tcBorders>
              <w:top w:val="single" w:color="000000" w:sz="4" w:space="0"/>
              <w:left w:val="single" w:color="000000" w:sz="4" w:space="0"/>
              <w:bottom w:val="single" w:color="000000" w:sz="4" w:space="0"/>
              <w:right w:val="single" w:color="000000" w:sz="4" w:space="0"/>
            </w:tcBorders>
            <w:noWrap w:val="0"/>
            <w:vAlign w:val="center"/>
          </w:tcPr>
          <w:p w14:paraId="6BAF412D">
            <w:pPr>
              <w:spacing w:line="360" w:lineRule="auto"/>
              <w:jc w:val="center"/>
              <w:outlineLvl w:val="9"/>
              <w:rPr>
                <w:rFonts w:hint="eastAsia" w:ascii="仿宋" w:hAnsi="仿宋" w:eastAsia="仿宋" w:cs="仿宋"/>
                <w:color w:val="auto"/>
                <w:sz w:val="24"/>
                <w:highlight w:val="none"/>
              </w:rPr>
            </w:pPr>
            <w:r>
              <w:rPr>
                <w:rFonts w:hint="eastAsia" w:ascii="仿宋" w:hAnsi="仿宋" w:eastAsia="仿宋" w:cs="仿宋"/>
                <w:color w:val="auto"/>
                <w:sz w:val="24"/>
                <w:highlight w:val="none"/>
              </w:rPr>
              <w:t>1.5年</w:t>
            </w:r>
          </w:p>
        </w:tc>
        <w:tc>
          <w:tcPr>
            <w:tcW w:w="955" w:type="pct"/>
            <w:tcBorders>
              <w:top w:val="single" w:color="000000" w:sz="4" w:space="0"/>
              <w:left w:val="single" w:color="000000" w:sz="4" w:space="0"/>
              <w:bottom w:val="single" w:color="000000" w:sz="4" w:space="0"/>
              <w:right w:val="single" w:color="000000" w:sz="4" w:space="0"/>
            </w:tcBorders>
            <w:noWrap w:val="0"/>
            <w:vAlign w:val="center"/>
          </w:tcPr>
          <w:p w14:paraId="3E6F6C4F">
            <w:pPr>
              <w:spacing w:line="360" w:lineRule="auto"/>
              <w:jc w:val="center"/>
              <w:outlineLvl w:val="9"/>
              <w:rPr>
                <w:rFonts w:hint="eastAsia" w:ascii="仿宋" w:hAnsi="仿宋" w:eastAsia="仿宋" w:cs="仿宋"/>
                <w:color w:val="auto"/>
                <w:sz w:val="24"/>
                <w:highlight w:val="none"/>
              </w:rPr>
            </w:pPr>
            <w:r>
              <w:rPr>
                <w:rFonts w:hint="eastAsia" w:ascii="仿宋" w:hAnsi="仿宋" w:eastAsia="仿宋" w:cs="仿宋"/>
                <w:color w:val="auto"/>
                <w:sz w:val="24"/>
                <w:highlight w:val="none"/>
              </w:rPr>
              <w:t>济南</w:t>
            </w:r>
          </w:p>
        </w:tc>
        <w:tc>
          <w:tcPr>
            <w:tcW w:w="1265" w:type="pct"/>
            <w:vMerge w:val="continue"/>
            <w:tcBorders>
              <w:left w:val="single" w:color="000000" w:sz="4" w:space="0"/>
              <w:bottom w:val="single" w:color="000000" w:sz="4" w:space="0"/>
              <w:right w:val="single" w:color="000000" w:sz="4" w:space="0"/>
            </w:tcBorders>
            <w:noWrap w:val="0"/>
            <w:vAlign w:val="center"/>
          </w:tcPr>
          <w:p w14:paraId="2D37E1A5">
            <w:pPr>
              <w:spacing w:line="360" w:lineRule="auto"/>
              <w:jc w:val="center"/>
              <w:outlineLvl w:val="9"/>
              <w:rPr>
                <w:rFonts w:hint="eastAsia" w:ascii="仿宋" w:hAnsi="仿宋" w:eastAsia="仿宋" w:cs="仿宋"/>
                <w:color w:val="auto"/>
                <w:sz w:val="24"/>
                <w:highlight w:val="none"/>
              </w:rPr>
            </w:pPr>
          </w:p>
        </w:tc>
      </w:tr>
    </w:tbl>
    <w:p w14:paraId="2BE78518">
      <w:pPr>
        <w:spacing w:line="360" w:lineRule="auto"/>
        <w:ind w:firstLine="424" w:firstLineChars="177"/>
        <w:outlineLvl w:val="9"/>
        <w:rPr>
          <w:rFonts w:hint="eastAsia" w:ascii="仿宋" w:hAnsi="仿宋" w:eastAsia="仿宋" w:cs="仿宋"/>
          <w:color w:val="auto"/>
          <w:sz w:val="24"/>
          <w:highlight w:val="none"/>
        </w:rPr>
      </w:pPr>
    </w:p>
    <w:p w14:paraId="7DFA4FE7">
      <w:pPr>
        <w:spacing w:line="360" w:lineRule="auto"/>
        <w:ind w:firstLine="424" w:firstLineChars="177"/>
        <w:outlineLvl w:val="9"/>
        <w:rPr>
          <w:rFonts w:hint="eastAsia" w:ascii="仿宋" w:hAnsi="仿宋" w:eastAsia="仿宋" w:cs="仿宋"/>
          <w:color w:val="auto"/>
          <w:sz w:val="24"/>
          <w:highlight w:val="none"/>
        </w:rPr>
      </w:pPr>
      <w:r>
        <w:rPr>
          <w:rFonts w:hint="eastAsia" w:ascii="仿宋" w:hAnsi="仿宋" w:eastAsia="仿宋" w:cs="仿宋"/>
          <w:color w:val="auto"/>
          <w:sz w:val="24"/>
          <w:highlight w:val="none"/>
        </w:rPr>
        <w:t>二、审计依据</w:t>
      </w:r>
    </w:p>
    <w:p w14:paraId="2D54916E">
      <w:pPr>
        <w:spacing w:line="360" w:lineRule="auto"/>
        <w:ind w:firstLine="424" w:firstLineChars="177"/>
        <w:outlineLvl w:val="9"/>
        <w:rPr>
          <w:rFonts w:hint="eastAsia" w:ascii="仿宋" w:hAnsi="仿宋" w:eastAsia="仿宋" w:cs="仿宋"/>
          <w:color w:val="auto"/>
          <w:sz w:val="24"/>
          <w:highlight w:val="none"/>
        </w:rPr>
      </w:pPr>
      <w:r>
        <w:rPr>
          <w:rFonts w:hint="eastAsia" w:ascii="仿宋" w:hAnsi="仿宋" w:eastAsia="仿宋" w:cs="仿宋"/>
          <w:color w:val="auto"/>
          <w:sz w:val="24"/>
          <w:highlight w:val="none"/>
        </w:rPr>
        <w:t>1.审计依据。《党政主要领导干部和国有企事业单位主要领导人员经济责任审计规定》和实施细则、《第2205号内部审计具体准则——经济责任审计》与《山东第一医科大学（山东省医学科学院）内部审计工作规定》（校（院）字[2020]70号</w:t>
      </w:r>
      <w:r>
        <w:rPr>
          <w:rFonts w:hint="eastAsia" w:ascii="宋体" w:hAnsi="宋体" w:cs="宋体"/>
          <w:color w:val="auto"/>
          <w:kern w:val="0"/>
          <w:sz w:val="24"/>
          <w:highlight w:val="none"/>
          <w:lang w:val="en-US" w:eastAsia="zh-CN"/>
        </w:rPr>
        <w:t>)</w:t>
      </w:r>
      <w:r>
        <w:rPr>
          <w:rFonts w:hint="eastAsia" w:ascii="仿宋" w:hAnsi="仿宋" w:eastAsia="仿宋" w:cs="仿宋"/>
          <w:color w:val="auto"/>
          <w:sz w:val="24"/>
          <w:highlight w:val="none"/>
        </w:rPr>
        <w:t>《山东第一医科大学（山东省医学科学院）领导干部经济责任审计实施办法》》（校（院）字[2020]69号</w:t>
      </w:r>
      <w:r>
        <w:rPr>
          <w:rFonts w:hint="eastAsia" w:ascii="宋体" w:hAnsi="宋体" w:cs="宋体"/>
          <w:color w:val="auto"/>
          <w:kern w:val="0"/>
          <w:sz w:val="24"/>
          <w:highlight w:val="none"/>
          <w:lang w:val="en-US" w:eastAsia="zh-CN"/>
        </w:rPr>
        <w:t>)</w:t>
      </w:r>
      <w:r>
        <w:rPr>
          <w:rFonts w:hint="eastAsia" w:ascii="仿宋" w:hAnsi="仿宋" w:eastAsia="仿宋" w:cs="仿宋"/>
          <w:color w:val="auto"/>
          <w:sz w:val="24"/>
          <w:highlight w:val="none"/>
        </w:rPr>
        <w:t>相结合要求的经济责任审计内容。</w:t>
      </w:r>
    </w:p>
    <w:p w14:paraId="7EBEEA7D">
      <w:pPr>
        <w:spacing w:line="360" w:lineRule="auto"/>
        <w:ind w:firstLine="424" w:firstLineChars="177"/>
        <w:outlineLvl w:val="9"/>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三、</w:t>
      </w:r>
      <w:r>
        <w:rPr>
          <w:rFonts w:hint="eastAsia" w:ascii="仿宋" w:hAnsi="仿宋" w:eastAsia="仿宋" w:cs="仿宋"/>
          <w:color w:val="auto"/>
          <w:sz w:val="24"/>
          <w:highlight w:val="none"/>
        </w:rPr>
        <w:t>服务内容</w:t>
      </w:r>
    </w:p>
    <w:p w14:paraId="76C62DC4">
      <w:pPr>
        <w:spacing w:line="360" w:lineRule="auto"/>
        <w:ind w:firstLine="424" w:firstLineChars="177"/>
        <w:outlineLvl w:val="9"/>
        <w:rPr>
          <w:rFonts w:hint="eastAsia" w:ascii="仿宋" w:hAnsi="仿宋" w:eastAsia="仿宋" w:cs="仿宋"/>
          <w:color w:val="auto"/>
          <w:sz w:val="24"/>
          <w:highlight w:val="none"/>
        </w:rPr>
      </w:pPr>
      <w:r>
        <w:rPr>
          <w:rFonts w:hint="eastAsia" w:ascii="仿宋" w:hAnsi="仿宋" w:eastAsia="仿宋" w:cs="仿宋"/>
          <w:color w:val="auto"/>
          <w:sz w:val="24"/>
          <w:highlight w:val="none"/>
        </w:rPr>
        <w:t>协助采购人开展经济责任审计相关事项，重点审查相关单位（部门）预算管理、经费收支管理及资产管理的合规性情况。在项目执行过程中</w:t>
      </w:r>
      <w:r>
        <w:rPr>
          <w:rFonts w:hint="eastAsia" w:ascii="仿宋" w:hAnsi="仿宋" w:eastAsia="仿宋" w:cs="仿宋"/>
          <w:color w:val="auto"/>
          <w:sz w:val="24"/>
          <w:highlight w:val="none"/>
          <w:lang w:val="en-US" w:eastAsia="zh-CN"/>
        </w:rPr>
        <w:t>原则上</w:t>
      </w:r>
      <w:r>
        <w:rPr>
          <w:rFonts w:hint="eastAsia" w:ascii="仿宋" w:hAnsi="仿宋" w:eastAsia="仿宋" w:cs="仿宋"/>
          <w:color w:val="auto"/>
          <w:sz w:val="24"/>
          <w:highlight w:val="none"/>
        </w:rPr>
        <w:t>不得</w:t>
      </w:r>
      <w:r>
        <w:rPr>
          <w:rFonts w:hint="eastAsia" w:ascii="仿宋" w:hAnsi="仿宋" w:eastAsia="仿宋" w:cs="仿宋"/>
          <w:color w:val="auto"/>
          <w:sz w:val="24"/>
          <w:highlight w:val="none"/>
          <w:lang w:val="en-US" w:eastAsia="zh-CN"/>
        </w:rPr>
        <w:t>调换团队服务人员</w:t>
      </w:r>
      <w:r>
        <w:rPr>
          <w:rFonts w:hint="eastAsia" w:ascii="仿宋" w:hAnsi="仿宋" w:eastAsia="仿宋" w:cs="仿宋"/>
          <w:color w:val="auto"/>
          <w:sz w:val="24"/>
          <w:highlight w:val="none"/>
        </w:rPr>
        <w:t>，</w:t>
      </w:r>
      <w:r>
        <w:rPr>
          <w:rFonts w:hint="eastAsia" w:ascii="仿宋" w:hAnsi="仿宋" w:eastAsia="仿宋" w:cs="仿宋"/>
          <w:color w:val="auto"/>
          <w:sz w:val="24"/>
          <w:highlight w:val="none"/>
          <w:lang w:val="en-US" w:eastAsia="zh-CN"/>
        </w:rPr>
        <w:t>确需调换须经采购人同意</w:t>
      </w:r>
      <w:r>
        <w:rPr>
          <w:rFonts w:hint="eastAsia" w:ascii="仿宋" w:hAnsi="仿宋" w:eastAsia="仿宋" w:cs="仿宋"/>
          <w:color w:val="auto"/>
          <w:sz w:val="24"/>
          <w:highlight w:val="none"/>
        </w:rPr>
        <w:t>。完成约定内容的审计工作底稿和取证单，并出具相关报告。</w:t>
      </w:r>
    </w:p>
    <w:p w14:paraId="3D50023D">
      <w:pPr>
        <w:numPr>
          <w:ilvl w:val="0"/>
          <w:numId w:val="0"/>
        </w:numPr>
        <w:spacing w:line="360" w:lineRule="auto"/>
        <w:ind w:firstLine="424" w:firstLineChars="177"/>
        <w:outlineLvl w:val="9"/>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val="en-US" w:eastAsia="zh-CN"/>
        </w:rPr>
        <w:t>四、服务要求</w:t>
      </w:r>
    </w:p>
    <w:p w14:paraId="5BE9BB21">
      <w:pPr>
        <w:numPr>
          <w:ilvl w:val="0"/>
          <w:numId w:val="0"/>
        </w:numPr>
        <w:spacing w:line="360" w:lineRule="auto"/>
        <w:ind w:firstLine="424" w:firstLineChars="177"/>
        <w:outlineLvl w:val="9"/>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1.</w:t>
      </w:r>
      <w:r>
        <w:rPr>
          <w:rFonts w:hint="eastAsia" w:ascii="仿宋" w:hAnsi="仿宋" w:eastAsia="仿宋" w:cs="仿宋"/>
          <w:color w:val="auto"/>
          <w:sz w:val="24"/>
          <w:highlight w:val="none"/>
        </w:rPr>
        <w:t>供应商</w:t>
      </w:r>
      <w:r>
        <w:rPr>
          <w:rFonts w:hint="eastAsia" w:ascii="仿宋" w:hAnsi="仿宋" w:eastAsia="仿宋" w:cs="仿宋"/>
          <w:color w:val="auto"/>
          <w:sz w:val="24"/>
          <w:highlight w:val="none"/>
          <w:lang w:val="en-US" w:eastAsia="zh-CN"/>
        </w:rPr>
        <w:t>根据项目需要组建项目服务团队，团队成员须</w:t>
      </w:r>
      <w:r>
        <w:rPr>
          <w:rFonts w:hint="eastAsia" w:ascii="仿宋" w:hAnsi="仿宋" w:eastAsia="仿宋" w:cs="仿宋"/>
          <w:color w:val="auto"/>
          <w:sz w:val="24"/>
          <w:highlight w:val="none"/>
        </w:rPr>
        <w:t>熟悉经济责任审计业务</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rPr>
        <w:t>其中项目负责人必须具有注册会计师资格证书</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lang w:val="en-US" w:eastAsia="zh-CN"/>
        </w:rPr>
        <w:t>且提供驻场服务</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lang w:val="en-US" w:eastAsia="zh-CN"/>
        </w:rPr>
        <w:t>除项目负责人外，另提供至少2名驻场人员</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lang w:val="en-US" w:eastAsia="zh-CN"/>
        </w:rPr>
        <w:t>提供驻场人员名单及资质证书，驻场地点为济南校区</w:t>
      </w:r>
      <w:r>
        <w:rPr>
          <w:rFonts w:hint="eastAsia" w:ascii="仿宋" w:hAnsi="仿宋" w:eastAsia="仿宋" w:cs="仿宋"/>
          <w:color w:val="auto"/>
          <w:sz w:val="24"/>
          <w:highlight w:val="none"/>
          <w:lang w:eastAsia="zh-CN"/>
        </w:rPr>
        <w:t>。</w:t>
      </w:r>
    </w:p>
    <w:p w14:paraId="32756063">
      <w:pPr>
        <w:spacing w:line="360" w:lineRule="auto"/>
        <w:ind w:firstLine="424" w:firstLineChars="177"/>
        <w:outlineLvl w:val="9"/>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2</w:t>
      </w:r>
      <w:r>
        <w:rPr>
          <w:rFonts w:hint="eastAsia" w:ascii="仿宋" w:hAnsi="仿宋" w:eastAsia="仿宋" w:cs="仿宋"/>
          <w:color w:val="auto"/>
          <w:sz w:val="24"/>
          <w:highlight w:val="none"/>
        </w:rPr>
        <w:t>.</w:t>
      </w:r>
      <w:r>
        <w:rPr>
          <w:rFonts w:hint="eastAsia" w:ascii="仿宋" w:hAnsi="仿宋" w:eastAsia="仿宋" w:cs="仿宋"/>
          <w:color w:val="auto"/>
          <w:sz w:val="24"/>
          <w:highlight w:val="none"/>
          <w:lang w:val="en-US" w:eastAsia="zh-CN"/>
        </w:rPr>
        <w:t>根据采购人</w:t>
      </w:r>
      <w:r>
        <w:rPr>
          <w:rFonts w:hint="eastAsia" w:ascii="仿宋" w:hAnsi="仿宋" w:eastAsia="仿宋" w:cs="仿宋"/>
          <w:color w:val="auto"/>
          <w:sz w:val="24"/>
          <w:highlight w:val="none"/>
        </w:rPr>
        <w:t>安排进行项目审前调查。</w:t>
      </w:r>
    </w:p>
    <w:p w14:paraId="304617F4">
      <w:pPr>
        <w:spacing w:line="360" w:lineRule="auto"/>
        <w:ind w:firstLine="424" w:firstLineChars="177"/>
        <w:outlineLvl w:val="9"/>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3</w:t>
      </w:r>
      <w:r>
        <w:rPr>
          <w:rFonts w:hint="eastAsia" w:ascii="仿宋" w:hAnsi="仿宋" w:eastAsia="仿宋" w:cs="仿宋"/>
          <w:color w:val="auto"/>
          <w:sz w:val="24"/>
          <w:highlight w:val="none"/>
        </w:rPr>
        <w:t>.制定审计方案，经</w:t>
      </w:r>
      <w:r>
        <w:rPr>
          <w:rFonts w:hint="eastAsia" w:ascii="仿宋" w:hAnsi="仿宋" w:eastAsia="仿宋" w:cs="仿宋"/>
          <w:color w:val="auto"/>
          <w:sz w:val="24"/>
          <w:highlight w:val="none"/>
          <w:lang w:val="en-US" w:eastAsia="zh-CN"/>
        </w:rPr>
        <w:t>采购人</w:t>
      </w:r>
      <w:r>
        <w:rPr>
          <w:rFonts w:hint="eastAsia" w:ascii="仿宋" w:hAnsi="仿宋" w:eastAsia="仿宋" w:cs="仿宋"/>
          <w:color w:val="auto"/>
          <w:sz w:val="24"/>
          <w:highlight w:val="none"/>
        </w:rPr>
        <w:t>审核后实施。</w:t>
      </w:r>
    </w:p>
    <w:p w14:paraId="7C738BD1">
      <w:pPr>
        <w:spacing w:line="360" w:lineRule="auto"/>
        <w:ind w:firstLine="424" w:firstLineChars="177"/>
        <w:outlineLvl w:val="9"/>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4</w:t>
      </w:r>
      <w:r>
        <w:rPr>
          <w:rFonts w:hint="eastAsia" w:ascii="仿宋" w:hAnsi="仿宋" w:eastAsia="仿宋" w:cs="仿宋"/>
          <w:color w:val="auto"/>
          <w:sz w:val="24"/>
          <w:highlight w:val="none"/>
        </w:rPr>
        <w:t>.</w:t>
      </w:r>
      <w:r>
        <w:rPr>
          <w:rFonts w:hint="eastAsia" w:ascii="仿宋" w:hAnsi="仿宋" w:eastAsia="仿宋" w:cs="仿宋"/>
          <w:color w:val="auto"/>
          <w:sz w:val="24"/>
          <w:highlight w:val="none"/>
          <w:lang w:val="en-US" w:eastAsia="zh-CN"/>
        </w:rPr>
        <w:t>根据项目需要，</w:t>
      </w:r>
      <w:r>
        <w:rPr>
          <w:rFonts w:hint="eastAsia" w:ascii="仿宋" w:hAnsi="仿宋" w:eastAsia="仿宋" w:cs="仿宋"/>
          <w:color w:val="auto"/>
          <w:sz w:val="24"/>
          <w:highlight w:val="none"/>
        </w:rPr>
        <w:t>参加审计进点会。</w:t>
      </w:r>
    </w:p>
    <w:p w14:paraId="35490A10">
      <w:pPr>
        <w:spacing w:line="360" w:lineRule="auto"/>
        <w:ind w:firstLine="424" w:firstLineChars="177"/>
        <w:outlineLvl w:val="9"/>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5</w:t>
      </w:r>
      <w:r>
        <w:rPr>
          <w:rFonts w:hint="eastAsia" w:ascii="仿宋" w:hAnsi="仿宋" w:eastAsia="仿宋" w:cs="仿宋"/>
          <w:color w:val="auto"/>
          <w:sz w:val="24"/>
          <w:highlight w:val="none"/>
        </w:rPr>
        <w:t>.按照审计方案实施审计，根据需要采用审核、观察、监盘、询问、函证、计算、分析性复核等必要的方法获取审计证据，编制工作底稿和取证单；对于发现的问题和线索及时向项目主审汇报，并形成结论。</w:t>
      </w:r>
    </w:p>
    <w:p w14:paraId="725B7AF6">
      <w:pPr>
        <w:spacing w:line="360" w:lineRule="auto"/>
        <w:ind w:firstLine="424" w:firstLineChars="177"/>
        <w:outlineLvl w:val="9"/>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6</w:t>
      </w:r>
      <w:r>
        <w:rPr>
          <w:rFonts w:hint="eastAsia" w:ascii="仿宋" w:hAnsi="仿宋" w:eastAsia="仿宋" w:cs="仿宋"/>
          <w:color w:val="auto"/>
          <w:sz w:val="24"/>
          <w:highlight w:val="none"/>
        </w:rPr>
        <w:t>.就工作底稿反映的情况和取证单反映的问题与被审计单位和被审计对象进行沟通</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rPr>
        <w:t>对方有异议的需进一步落实。</w:t>
      </w:r>
    </w:p>
    <w:p w14:paraId="2E18BF11">
      <w:pPr>
        <w:spacing w:line="360" w:lineRule="auto"/>
        <w:ind w:firstLine="424" w:firstLineChars="177"/>
        <w:outlineLvl w:val="9"/>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7.</w:t>
      </w:r>
      <w:r>
        <w:rPr>
          <w:rFonts w:hint="eastAsia" w:ascii="仿宋" w:hAnsi="仿宋" w:eastAsia="仿宋" w:cs="仿宋"/>
          <w:color w:val="auto"/>
          <w:sz w:val="24"/>
          <w:highlight w:val="none"/>
        </w:rPr>
        <w:t>项目结束后审计资料</w:t>
      </w:r>
      <w:r>
        <w:rPr>
          <w:rFonts w:hint="eastAsia" w:ascii="仿宋" w:hAnsi="仿宋" w:eastAsia="仿宋" w:cs="仿宋"/>
          <w:color w:val="auto"/>
          <w:sz w:val="24"/>
          <w:highlight w:val="none"/>
          <w:lang w:val="en-US" w:eastAsia="zh-CN"/>
        </w:rPr>
        <w:t>须</w:t>
      </w:r>
      <w:r>
        <w:rPr>
          <w:rFonts w:hint="eastAsia" w:ascii="仿宋" w:hAnsi="仿宋" w:eastAsia="仿宋" w:cs="仿宋"/>
          <w:color w:val="auto"/>
          <w:sz w:val="24"/>
          <w:highlight w:val="none"/>
        </w:rPr>
        <w:t>全部移交</w:t>
      </w:r>
      <w:r>
        <w:rPr>
          <w:rFonts w:hint="eastAsia" w:ascii="仿宋" w:hAnsi="仿宋" w:eastAsia="仿宋" w:cs="仿宋"/>
          <w:color w:val="auto"/>
          <w:sz w:val="24"/>
          <w:highlight w:val="none"/>
          <w:lang w:val="en-US" w:eastAsia="zh-CN"/>
        </w:rPr>
        <w:t>采购人（资料包括纸质资料和电子资料）</w:t>
      </w:r>
      <w:r>
        <w:rPr>
          <w:rFonts w:hint="eastAsia" w:ascii="仿宋" w:hAnsi="仿宋" w:eastAsia="仿宋" w:cs="仿宋"/>
          <w:color w:val="auto"/>
          <w:sz w:val="24"/>
          <w:highlight w:val="none"/>
        </w:rPr>
        <w:t>。</w:t>
      </w:r>
    </w:p>
    <w:p w14:paraId="1036F3F9">
      <w:pPr>
        <w:spacing w:line="360" w:lineRule="auto"/>
        <w:ind w:firstLine="424" w:firstLineChars="177"/>
        <w:outlineLvl w:val="9"/>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8.</w:t>
      </w:r>
      <w:r>
        <w:rPr>
          <w:rFonts w:hint="eastAsia" w:ascii="仿宋" w:hAnsi="仿宋" w:eastAsia="仿宋" w:cs="仿宋"/>
          <w:color w:val="auto"/>
          <w:sz w:val="24"/>
          <w:highlight w:val="none"/>
        </w:rPr>
        <w:t>项目结束后</w:t>
      </w:r>
      <w:r>
        <w:rPr>
          <w:rFonts w:hint="eastAsia" w:ascii="仿宋" w:hAnsi="仿宋" w:eastAsia="仿宋" w:cs="仿宋"/>
          <w:color w:val="auto"/>
          <w:sz w:val="24"/>
          <w:highlight w:val="none"/>
          <w:lang w:val="en-US" w:eastAsia="zh-CN"/>
        </w:rPr>
        <w:t>根据采购人要求做好后续服务工作。</w:t>
      </w:r>
    </w:p>
    <w:p w14:paraId="12710899">
      <w:pPr>
        <w:spacing w:line="360" w:lineRule="auto"/>
        <w:ind w:firstLine="424" w:firstLineChars="177"/>
        <w:outlineLvl w:val="9"/>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9.供应商须具有完善的内部管理制度。完善的保密、廉洁制度，并提供保密、廉洁承诺书（格式自拟）。</w:t>
      </w:r>
    </w:p>
    <w:p w14:paraId="0E1D5AAD">
      <w:pPr>
        <w:spacing w:line="360" w:lineRule="auto"/>
        <w:ind w:firstLine="424" w:firstLineChars="177"/>
        <w:outlineLvl w:val="9"/>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五、其他要求：</w:t>
      </w:r>
    </w:p>
    <w:p w14:paraId="25FC7377">
      <w:pPr>
        <w:spacing w:line="360" w:lineRule="auto"/>
        <w:ind w:firstLine="424" w:firstLineChars="177"/>
        <w:outlineLvl w:val="9"/>
        <w:rPr>
          <w:rFonts w:hint="default" w:ascii="仿宋" w:hAnsi="仿宋" w:eastAsia="仿宋" w:cs="仿宋"/>
          <w:color w:val="auto"/>
          <w:sz w:val="24"/>
          <w:highlight w:val="none"/>
          <w:lang w:val="en-US" w:eastAsia="zh-CN"/>
        </w:rPr>
      </w:pPr>
      <w:r>
        <w:rPr>
          <w:rFonts w:hint="default" w:ascii="仿宋" w:hAnsi="仿宋" w:eastAsia="仿宋" w:cs="仿宋"/>
          <w:color w:val="auto"/>
          <w:sz w:val="24"/>
          <w:highlight w:val="none"/>
          <w:lang w:val="en-US" w:eastAsia="zh-CN"/>
        </w:rPr>
        <w:t>1.提供</w:t>
      </w:r>
      <w:r>
        <w:rPr>
          <w:rFonts w:hint="eastAsia" w:ascii="仿宋" w:hAnsi="仿宋" w:eastAsia="仿宋" w:cs="仿宋"/>
          <w:color w:val="auto"/>
          <w:sz w:val="24"/>
          <w:highlight w:val="none"/>
          <w:lang w:val="en-US" w:eastAsia="zh-CN"/>
        </w:rPr>
        <w:t>针对本项目</w:t>
      </w:r>
      <w:r>
        <w:rPr>
          <w:rFonts w:hint="default" w:ascii="仿宋" w:hAnsi="仿宋" w:eastAsia="仿宋" w:cs="仿宋"/>
          <w:color w:val="auto"/>
          <w:sz w:val="24"/>
          <w:highlight w:val="none"/>
          <w:lang w:val="en-US" w:eastAsia="zh-CN"/>
        </w:rPr>
        <w:t>实施方案</w:t>
      </w:r>
      <w:r>
        <w:rPr>
          <w:rFonts w:hint="eastAsia" w:ascii="仿宋" w:hAnsi="仿宋" w:eastAsia="仿宋" w:cs="仿宋"/>
          <w:color w:val="auto"/>
          <w:sz w:val="24"/>
          <w:highlight w:val="none"/>
          <w:lang w:val="en-US" w:eastAsia="zh-CN"/>
        </w:rPr>
        <w:t>，方案</w:t>
      </w:r>
      <w:r>
        <w:rPr>
          <w:rFonts w:hint="default" w:ascii="仿宋" w:hAnsi="仿宋" w:eastAsia="仿宋" w:cs="仿宋"/>
          <w:color w:val="auto"/>
          <w:sz w:val="24"/>
          <w:highlight w:val="none"/>
          <w:lang w:val="en-US" w:eastAsia="zh-CN"/>
        </w:rPr>
        <w:t>目标明确、思路清晰。</w:t>
      </w:r>
    </w:p>
    <w:p w14:paraId="096B24C0">
      <w:pPr>
        <w:spacing w:line="360" w:lineRule="auto"/>
        <w:ind w:firstLine="424" w:firstLineChars="177"/>
        <w:outlineLvl w:val="9"/>
        <w:rPr>
          <w:rFonts w:hint="default" w:ascii="仿宋" w:hAnsi="仿宋" w:eastAsia="仿宋" w:cs="仿宋"/>
          <w:color w:val="auto"/>
          <w:sz w:val="24"/>
          <w:highlight w:val="none"/>
          <w:lang w:val="en-US" w:eastAsia="zh-CN"/>
        </w:rPr>
      </w:pPr>
      <w:r>
        <w:rPr>
          <w:rFonts w:hint="default" w:ascii="仿宋" w:hAnsi="仿宋" w:eastAsia="仿宋" w:cs="仿宋"/>
          <w:color w:val="auto"/>
          <w:sz w:val="24"/>
          <w:highlight w:val="none"/>
          <w:lang w:val="en-US" w:eastAsia="zh-CN"/>
        </w:rPr>
        <w:t>2.提供</w:t>
      </w:r>
      <w:r>
        <w:rPr>
          <w:rFonts w:hint="eastAsia" w:ascii="仿宋" w:hAnsi="仿宋" w:eastAsia="仿宋" w:cs="仿宋"/>
          <w:color w:val="auto"/>
          <w:sz w:val="24"/>
          <w:highlight w:val="none"/>
          <w:lang w:val="en-US" w:eastAsia="zh-CN"/>
        </w:rPr>
        <w:t>针对本项目</w:t>
      </w:r>
      <w:r>
        <w:rPr>
          <w:rFonts w:hint="default" w:ascii="仿宋" w:hAnsi="仿宋" w:eastAsia="仿宋" w:cs="仿宋"/>
          <w:color w:val="auto"/>
          <w:sz w:val="24"/>
          <w:highlight w:val="none"/>
          <w:lang w:val="en-US" w:eastAsia="zh-CN"/>
        </w:rPr>
        <w:t>服务工作内容、工作方法、工作流程、职责分工、项目重点及实施策略。</w:t>
      </w:r>
    </w:p>
    <w:p w14:paraId="04301FC6">
      <w:pPr>
        <w:spacing w:line="360" w:lineRule="auto"/>
        <w:ind w:firstLine="424" w:firstLineChars="177"/>
        <w:outlineLvl w:val="9"/>
        <w:rPr>
          <w:rFonts w:hint="default"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3.</w:t>
      </w:r>
      <w:r>
        <w:rPr>
          <w:rFonts w:hint="default" w:ascii="仿宋" w:hAnsi="仿宋" w:eastAsia="仿宋" w:cs="仿宋"/>
          <w:color w:val="auto"/>
          <w:sz w:val="24"/>
          <w:highlight w:val="none"/>
          <w:lang w:val="en-US" w:eastAsia="zh-CN"/>
        </w:rPr>
        <w:t>提供</w:t>
      </w:r>
      <w:r>
        <w:rPr>
          <w:rFonts w:hint="eastAsia" w:ascii="仿宋" w:hAnsi="仿宋" w:eastAsia="仿宋" w:cs="仿宋"/>
          <w:color w:val="auto"/>
          <w:sz w:val="24"/>
          <w:highlight w:val="none"/>
          <w:lang w:val="en-US" w:eastAsia="zh-CN"/>
        </w:rPr>
        <w:t>针对本项目的</w:t>
      </w:r>
      <w:r>
        <w:rPr>
          <w:rFonts w:hint="default" w:ascii="仿宋" w:hAnsi="仿宋" w:eastAsia="仿宋" w:cs="仿宋"/>
          <w:color w:val="auto"/>
          <w:sz w:val="24"/>
          <w:highlight w:val="none"/>
          <w:lang w:val="en-US" w:eastAsia="zh-CN"/>
        </w:rPr>
        <w:t>进度控制措施、质量保证措施、服务承诺。</w:t>
      </w:r>
    </w:p>
    <w:p w14:paraId="2B1C63A5">
      <w:pPr>
        <w:spacing w:line="360" w:lineRule="auto"/>
        <w:ind w:firstLine="424" w:firstLineChars="177"/>
        <w:outlineLvl w:val="9"/>
        <w:rPr>
          <w:rFonts w:hint="default"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4.</w:t>
      </w:r>
      <w:r>
        <w:rPr>
          <w:rFonts w:hint="default" w:ascii="仿宋" w:hAnsi="仿宋" w:eastAsia="仿宋" w:cs="仿宋"/>
          <w:color w:val="auto"/>
          <w:sz w:val="24"/>
          <w:highlight w:val="none"/>
          <w:lang w:val="en-US" w:eastAsia="zh-CN"/>
        </w:rPr>
        <w:t>提供</w:t>
      </w:r>
      <w:r>
        <w:rPr>
          <w:rFonts w:hint="eastAsia" w:ascii="仿宋" w:hAnsi="仿宋" w:eastAsia="仿宋" w:cs="仿宋"/>
          <w:color w:val="auto"/>
          <w:sz w:val="24"/>
          <w:highlight w:val="none"/>
          <w:lang w:val="en-US" w:eastAsia="zh-CN"/>
        </w:rPr>
        <w:t>针对本项目的</w:t>
      </w:r>
      <w:r>
        <w:rPr>
          <w:rFonts w:hint="default" w:ascii="仿宋" w:hAnsi="仿宋" w:eastAsia="仿宋" w:cs="仿宋"/>
          <w:color w:val="auto"/>
          <w:sz w:val="24"/>
          <w:highlight w:val="none"/>
          <w:lang w:val="en-US" w:eastAsia="zh-CN"/>
        </w:rPr>
        <w:t>管理制度、沟通协调制度、风险防范措施、工作纪律（保密措施、廉政措施）。</w:t>
      </w:r>
    </w:p>
    <w:p w14:paraId="7B3DFD0B">
      <w:pPr>
        <w:spacing w:line="360" w:lineRule="auto"/>
        <w:ind w:firstLine="424" w:firstLineChars="177"/>
        <w:outlineLvl w:val="9"/>
        <w:rPr>
          <w:rFonts w:hint="default"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5.</w:t>
      </w:r>
      <w:r>
        <w:rPr>
          <w:rFonts w:hint="default" w:ascii="仿宋" w:hAnsi="仿宋" w:eastAsia="仿宋" w:cs="仿宋"/>
          <w:color w:val="auto"/>
          <w:sz w:val="24"/>
          <w:highlight w:val="none"/>
          <w:lang w:val="en-US" w:eastAsia="zh-CN"/>
        </w:rPr>
        <w:t>提供</w:t>
      </w:r>
      <w:r>
        <w:rPr>
          <w:rFonts w:hint="eastAsia" w:ascii="仿宋" w:hAnsi="仿宋" w:eastAsia="仿宋" w:cs="仿宋"/>
          <w:color w:val="auto"/>
          <w:sz w:val="24"/>
          <w:highlight w:val="none"/>
          <w:lang w:val="en-US" w:eastAsia="zh-CN"/>
        </w:rPr>
        <w:t>针对本项目的</w:t>
      </w:r>
      <w:r>
        <w:rPr>
          <w:rFonts w:hint="default" w:ascii="仿宋" w:hAnsi="仿宋" w:eastAsia="仿宋" w:cs="仿宋"/>
          <w:color w:val="auto"/>
          <w:sz w:val="24"/>
          <w:highlight w:val="none"/>
          <w:lang w:val="en-US" w:eastAsia="zh-CN"/>
        </w:rPr>
        <w:t>的合理化建议、后续服务方案。</w:t>
      </w:r>
    </w:p>
    <w:p w14:paraId="299562B9">
      <w:pPr>
        <w:spacing w:line="360" w:lineRule="auto"/>
        <w:ind w:firstLine="424" w:firstLineChars="177"/>
        <w:outlineLvl w:val="9"/>
        <w:rPr>
          <w:rFonts w:hint="default"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6.</w:t>
      </w:r>
      <w:r>
        <w:rPr>
          <w:rFonts w:hint="default" w:ascii="仿宋" w:hAnsi="仿宋" w:eastAsia="仿宋" w:cs="仿宋"/>
          <w:color w:val="auto"/>
          <w:sz w:val="24"/>
          <w:highlight w:val="none"/>
          <w:lang w:val="en-US" w:eastAsia="zh-CN"/>
        </w:rPr>
        <w:t>提供</w:t>
      </w:r>
      <w:r>
        <w:rPr>
          <w:rFonts w:hint="eastAsia" w:ascii="仿宋" w:hAnsi="仿宋" w:eastAsia="仿宋" w:cs="仿宋"/>
          <w:color w:val="auto"/>
          <w:sz w:val="24"/>
          <w:highlight w:val="none"/>
          <w:lang w:val="en-US" w:eastAsia="zh-CN"/>
        </w:rPr>
        <w:t>针对本项目的</w:t>
      </w:r>
      <w:r>
        <w:rPr>
          <w:rFonts w:hint="default" w:ascii="仿宋" w:hAnsi="仿宋" w:eastAsia="仿宋" w:cs="仿宋"/>
          <w:color w:val="auto"/>
          <w:sz w:val="24"/>
          <w:highlight w:val="none"/>
          <w:lang w:val="en-US" w:eastAsia="zh-CN"/>
        </w:rPr>
        <w:t>突发事件应急预案，应急组织架构、风险识别方案、应急响应流程、恢复策略</w:t>
      </w:r>
      <w:r>
        <w:rPr>
          <w:rFonts w:hint="eastAsia" w:ascii="仿宋" w:hAnsi="仿宋" w:eastAsia="仿宋" w:cs="仿宋"/>
          <w:color w:val="auto"/>
          <w:sz w:val="24"/>
          <w:highlight w:val="none"/>
          <w:lang w:val="en-US" w:eastAsia="zh-CN"/>
        </w:rPr>
        <w:t>等</w:t>
      </w:r>
      <w:r>
        <w:rPr>
          <w:rFonts w:hint="default" w:ascii="仿宋" w:hAnsi="仿宋" w:eastAsia="仿宋" w:cs="仿宋"/>
          <w:color w:val="auto"/>
          <w:sz w:val="24"/>
          <w:highlight w:val="none"/>
          <w:lang w:val="en-US" w:eastAsia="zh-CN"/>
        </w:rPr>
        <w:t>。</w:t>
      </w:r>
    </w:p>
    <w:p w14:paraId="7C1C7238">
      <w:pPr>
        <w:spacing w:line="360" w:lineRule="auto"/>
        <w:ind w:firstLine="424" w:firstLineChars="177"/>
        <w:outlineLvl w:val="9"/>
        <w:rPr>
          <w:rFonts w:hint="default"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7.</w:t>
      </w:r>
      <w:r>
        <w:rPr>
          <w:rFonts w:hint="default" w:ascii="仿宋" w:hAnsi="仿宋" w:eastAsia="仿宋" w:cs="仿宋"/>
          <w:color w:val="auto"/>
          <w:sz w:val="24"/>
          <w:highlight w:val="none"/>
          <w:lang w:val="en-US" w:eastAsia="zh-CN"/>
        </w:rPr>
        <w:t>提供</w:t>
      </w:r>
      <w:r>
        <w:rPr>
          <w:rFonts w:hint="eastAsia" w:ascii="仿宋" w:hAnsi="仿宋" w:eastAsia="仿宋" w:cs="仿宋"/>
          <w:color w:val="auto"/>
          <w:sz w:val="24"/>
          <w:highlight w:val="none"/>
          <w:lang w:val="en-US" w:eastAsia="zh-CN"/>
        </w:rPr>
        <w:t>针对本项目的</w:t>
      </w:r>
      <w:r>
        <w:rPr>
          <w:rFonts w:hint="default" w:ascii="仿宋" w:hAnsi="仿宋" w:eastAsia="仿宋" w:cs="仿宋"/>
          <w:color w:val="auto"/>
          <w:sz w:val="24"/>
          <w:highlight w:val="none"/>
          <w:lang w:val="en-US" w:eastAsia="zh-CN"/>
        </w:rPr>
        <w:t>人员配备方案</w:t>
      </w:r>
      <w:r>
        <w:rPr>
          <w:rFonts w:hint="eastAsia" w:ascii="仿宋" w:hAnsi="仿宋" w:eastAsia="仿宋" w:cs="仿宋"/>
          <w:color w:val="auto"/>
          <w:sz w:val="24"/>
          <w:highlight w:val="none"/>
          <w:lang w:val="en-US" w:eastAsia="zh-CN"/>
        </w:rPr>
        <w:t>，</w:t>
      </w:r>
      <w:r>
        <w:rPr>
          <w:rFonts w:hint="default" w:ascii="仿宋" w:hAnsi="仿宋" w:eastAsia="仿宋" w:cs="仿宋"/>
          <w:color w:val="auto"/>
          <w:sz w:val="24"/>
          <w:highlight w:val="none"/>
          <w:lang w:val="en-US" w:eastAsia="zh-CN"/>
        </w:rPr>
        <w:t>人员配备数量及专业能力、人员管理制度、职责分工与协作模式等。</w:t>
      </w:r>
    </w:p>
    <w:p w14:paraId="172BE55E">
      <w:pPr>
        <w:spacing w:line="360" w:lineRule="auto"/>
        <w:ind w:firstLine="424" w:firstLineChars="177"/>
        <w:outlineLvl w:val="9"/>
        <w:rPr>
          <w:rFonts w:hint="default" w:ascii="仿宋" w:hAnsi="仿宋" w:eastAsia="仿宋" w:cs="仿宋"/>
          <w:color w:val="auto"/>
          <w:sz w:val="24"/>
          <w:highlight w:val="none"/>
          <w:lang w:val="en-US" w:eastAsia="zh-CN"/>
        </w:rPr>
      </w:pPr>
    </w:p>
    <w:p w14:paraId="01A85080">
      <w:pPr>
        <w:spacing w:line="360" w:lineRule="auto"/>
        <w:ind w:firstLine="424" w:firstLineChars="177"/>
        <w:outlineLvl w:val="9"/>
        <w:rPr>
          <w:rFonts w:hint="default" w:ascii="仿宋" w:hAnsi="仿宋" w:eastAsia="仿宋" w:cs="仿宋"/>
          <w:color w:val="auto"/>
          <w:sz w:val="24"/>
          <w:highlight w:val="none"/>
          <w:lang w:val="en-US" w:eastAsia="zh-CN"/>
        </w:rPr>
      </w:pPr>
      <w:r>
        <w:rPr>
          <w:rFonts w:hint="default" w:ascii="仿宋" w:hAnsi="仿宋" w:eastAsia="仿宋" w:cs="仿宋"/>
          <w:color w:val="auto"/>
          <w:sz w:val="24"/>
          <w:highlight w:val="none"/>
          <w:lang w:val="en-US" w:eastAsia="zh-CN"/>
        </w:rPr>
        <w:t>付款方式：根据各项目工作进度，完成经济责任审计50%工作量且经验收合格后，支付合同金额的50%，全部经济责任审计完成且经验收合格后，支付合同剩余款项，采购人确定后7个工作日内支付。</w:t>
      </w:r>
    </w:p>
    <w:p w14:paraId="42ED71B9">
      <w:pPr>
        <w:spacing w:line="360" w:lineRule="auto"/>
        <w:ind w:firstLine="424" w:firstLineChars="177"/>
        <w:outlineLvl w:val="9"/>
        <w:rPr>
          <w:rFonts w:hint="default" w:ascii="仿宋" w:hAnsi="仿宋" w:eastAsia="仿宋" w:cs="仿宋"/>
          <w:color w:val="auto"/>
          <w:sz w:val="24"/>
          <w:highlight w:val="none"/>
          <w:lang w:val="en-US" w:eastAsia="zh-CN"/>
        </w:rPr>
      </w:pPr>
      <w:r>
        <w:rPr>
          <w:rFonts w:hint="default" w:ascii="仿宋" w:hAnsi="仿宋" w:eastAsia="仿宋" w:cs="仿宋"/>
          <w:color w:val="auto"/>
          <w:sz w:val="24"/>
          <w:highlight w:val="none"/>
          <w:lang w:val="en-US" w:eastAsia="zh-CN"/>
        </w:rPr>
        <w:t>交付日期（服务期限）：签订合同后150天内完成。</w:t>
      </w:r>
      <w:bookmarkStart w:id="12" w:name="_GoBack"/>
      <w:bookmarkEnd w:id="12"/>
    </w:p>
    <w:p w14:paraId="6EEECF02"/>
    <w:sectPr>
      <w:headerReference r:id="rId3" w:type="default"/>
      <w:footerReference r:id="rId4"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ED9CB56">
    <w:pPr>
      <w:pStyle w:val="3"/>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B846226">
                          <w:pPr>
                            <w:pStyle w:val="3"/>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14:paraId="1B846226">
                    <w:pPr>
                      <w:pStyle w:val="3"/>
                    </w:pPr>
                    <w:r>
                      <w:fldChar w:fldCharType="begin"/>
                    </w:r>
                    <w:r>
                      <w:instrText xml:space="preserve"> PAGE  \* MERGEFORMAT </w:instrText>
                    </w:r>
                    <w:r>
                      <w:fldChar w:fldCharType="separate"/>
                    </w:r>
                    <w:r>
                      <w:t>1</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1E1C10C">
    <w:pPr>
      <w:pStyle w:val="4"/>
      <w:pBdr>
        <w:bottom w:val="none" w:color="auto" w:sz="0" w:space="0"/>
      </w:pBd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8E73B25"/>
    <w:rsid w:val="001A40B9"/>
    <w:rsid w:val="008B3A1F"/>
    <w:rsid w:val="00BF2878"/>
    <w:rsid w:val="00E86DC3"/>
    <w:rsid w:val="011473D9"/>
    <w:rsid w:val="016E20F6"/>
    <w:rsid w:val="01C864BC"/>
    <w:rsid w:val="021D30A0"/>
    <w:rsid w:val="02272D87"/>
    <w:rsid w:val="02467CF0"/>
    <w:rsid w:val="02581607"/>
    <w:rsid w:val="02881EE4"/>
    <w:rsid w:val="02C13099"/>
    <w:rsid w:val="030A1693"/>
    <w:rsid w:val="037B610D"/>
    <w:rsid w:val="0396054D"/>
    <w:rsid w:val="03EA413C"/>
    <w:rsid w:val="04595A6F"/>
    <w:rsid w:val="049C556A"/>
    <w:rsid w:val="04D85D50"/>
    <w:rsid w:val="04D90FFA"/>
    <w:rsid w:val="04F55E67"/>
    <w:rsid w:val="052160FD"/>
    <w:rsid w:val="055D4B61"/>
    <w:rsid w:val="05C0734C"/>
    <w:rsid w:val="05D90430"/>
    <w:rsid w:val="05DE10FD"/>
    <w:rsid w:val="05E4134F"/>
    <w:rsid w:val="060D6415"/>
    <w:rsid w:val="061C7A71"/>
    <w:rsid w:val="062351FD"/>
    <w:rsid w:val="062D7E2E"/>
    <w:rsid w:val="06EC0C65"/>
    <w:rsid w:val="0736635B"/>
    <w:rsid w:val="07FB41D6"/>
    <w:rsid w:val="080B0B8A"/>
    <w:rsid w:val="085947C2"/>
    <w:rsid w:val="0881255B"/>
    <w:rsid w:val="08AF13D7"/>
    <w:rsid w:val="08AF5A70"/>
    <w:rsid w:val="08D00659"/>
    <w:rsid w:val="09135E5C"/>
    <w:rsid w:val="0954665C"/>
    <w:rsid w:val="0963260D"/>
    <w:rsid w:val="09BA0BAB"/>
    <w:rsid w:val="0A3916A6"/>
    <w:rsid w:val="0A3E449E"/>
    <w:rsid w:val="0A535F4C"/>
    <w:rsid w:val="0A887DDA"/>
    <w:rsid w:val="0AC13B73"/>
    <w:rsid w:val="0AE16917"/>
    <w:rsid w:val="0B347E9B"/>
    <w:rsid w:val="0B437985"/>
    <w:rsid w:val="0B7319FB"/>
    <w:rsid w:val="0CFA09F9"/>
    <w:rsid w:val="0D497660"/>
    <w:rsid w:val="0D784AD1"/>
    <w:rsid w:val="0D9F716B"/>
    <w:rsid w:val="0DB83498"/>
    <w:rsid w:val="0DCC3E00"/>
    <w:rsid w:val="0EAF2D2F"/>
    <w:rsid w:val="0EF65402"/>
    <w:rsid w:val="0FF64687"/>
    <w:rsid w:val="100A1547"/>
    <w:rsid w:val="104107F9"/>
    <w:rsid w:val="10A91D79"/>
    <w:rsid w:val="11247F28"/>
    <w:rsid w:val="1182067B"/>
    <w:rsid w:val="122F7733"/>
    <w:rsid w:val="12961F0C"/>
    <w:rsid w:val="12F413A8"/>
    <w:rsid w:val="13B2057E"/>
    <w:rsid w:val="13DD2C10"/>
    <w:rsid w:val="143F0724"/>
    <w:rsid w:val="14422F68"/>
    <w:rsid w:val="14AA2131"/>
    <w:rsid w:val="151E382E"/>
    <w:rsid w:val="16D33C42"/>
    <w:rsid w:val="18307952"/>
    <w:rsid w:val="19121541"/>
    <w:rsid w:val="191441CD"/>
    <w:rsid w:val="19527811"/>
    <w:rsid w:val="195A29F6"/>
    <w:rsid w:val="1A0724F4"/>
    <w:rsid w:val="1A382FA6"/>
    <w:rsid w:val="1A44439A"/>
    <w:rsid w:val="1A83453D"/>
    <w:rsid w:val="1AC032DD"/>
    <w:rsid w:val="1B764792"/>
    <w:rsid w:val="1B993683"/>
    <w:rsid w:val="1CBA3862"/>
    <w:rsid w:val="1D594142"/>
    <w:rsid w:val="1D7E373B"/>
    <w:rsid w:val="1DA53E58"/>
    <w:rsid w:val="1E4C7CE1"/>
    <w:rsid w:val="1E6A5D0C"/>
    <w:rsid w:val="1EE64FA3"/>
    <w:rsid w:val="1F2F1B60"/>
    <w:rsid w:val="1F841019"/>
    <w:rsid w:val="1FAA0C73"/>
    <w:rsid w:val="20125955"/>
    <w:rsid w:val="207E50FF"/>
    <w:rsid w:val="209E12C3"/>
    <w:rsid w:val="21440619"/>
    <w:rsid w:val="216C4A64"/>
    <w:rsid w:val="21CE66C6"/>
    <w:rsid w:val="21E53F5C"/>
    <w:rsid w:val="23234441"/>
    <w:rsid w:val="23560363"/>
    <w:rsid w:val="235817B8"/>
    <w:rsid w:val="23680EEF"/>
    <w:rsid w:val="23735BBF"/>
    <w:rsid w:val="23BF4AAD"/>
    <w:rsid w:val="23D70AC0"/>
    <w:rsid w:val="23ED3837"/>
    <w:rsid w:val="24245A18"/>
    <w:rsid w:val="24585FE0"/>
    <w:rsid w:val="24DE7727"/>
    <w:rsid w:val="24F4284D"/>
    <w:rsid w:val="25082AE0"/>
    <w:rsid w:val="26554C8F"/>
    <w:rsid w:val="26DC7D7A"/>
    <w:rsid w:val="27703A6D"/>
    <w:rsid w:val="277760B2"/>
    <w:rsid w:val="28043EE6"/>
    <w:rsid w:val="280B7976"/>
    <w:rsid w:val="28366EE2"/>
    <w:rsid w:val="29552CD3"/>
    <w:rsid w:val="29BE455E"/>
    <w:rsid w:val="2AC76D82"/>
    <w:rsid w:val="2ACD0287"/>
    <w:rsid w:val="2BA77A93"/>
    <w:rsid w:val="2C574FA1"/>
    <w:rsid w:val="2C7B0D8C"/>
    <w:rsid w:val="2CEF378F"/>
    <w:rsid w:val="2D6D64A1"/>
    <w:rsid w:val="2E1F59D1"/>
    <w:rsid w:val="2E354D2D"/>
    <w:rsid w:val="2E5A2796"/>
    <w:rsid w:val="2E800C75"/>
    <w:rsid w:val="2F326820"/>
    <w:rsid w:val="2F362B47"/>
    <w:rsid w:val="2FEA5A19"/>
    <w:rsid w:val="307979BE"/>
    <w:rsid w:val="30917065"/>
    <w:rsid w:val="30F377FD"/>
    <w:rsid w:val="30FE3C3E"/>
    <w:rsid w:val="310D643F"/>
    <w:rsid w:val="3146789E"/>
    <w:rsid w:val="31526E8E"/>
    <w:rsid w:val="31680948"/>
    <w:rsid w:val="31AD444A"/>
    <w:rsid w:val="32783A36"/>
    <w:rsid w:val="32D12376"/>
    <w:rsid w:val="33663E19"/>
    <w:rsid w:val="33B0228D"/>
    <w:rsid w:val="33D57C34"/>
    <w:rsid w:val="33D67BDE"/>
    <w:rsid w:val="341F2F94"/>
    <w:rsid w:val="3486280D"/>
    <w:rsid w:val="34AB3307"/>
    <w:rsid w:val="34F50FB0"/>
    <w:rsid w:val="35F52014"/>
    <w:rsid w:val="36876E96"/>
    <w:rsid w:val="36971394"/>
    <w:rsid w:val="384A57F7"/>
    <w:rsid w:val="386C2172"/>
    <w:rsid w:val="38E32568"/>
    <w:rsid w:val="39ED243B"/>
    <w:rsid w:val="3A11200F"/>
    <w:rsid w:val="3AD232C7"/>
    <w:rsid w:val="3B5460E6"/>
    <w:rsid w:val="3B7C735B"/>
    <w:rsid w:val="3B846C36"/>
    <w:rsid w:val="3BD161A7"/>
    <w:rsid w:val="3D1619C9"/>
    <w:rsid w:val="3D36519F"/>
    <w:rsid w:val="3D3F1E90"/>
    <w:rsid w:val="3D565337"/>
    <w:rsid w:val="3DCD30FA"/>
    <w:rsid w:val="3E41390D"/>
    <w:rsid w:val="3E845050"/>
    <w:rsid w:val="40101A80"/>
    <w:rsid w:val="404247D4"/>
    <w:rsid w:val="40D33D1A"/>
    <w:rsid w:val="40ED017F"/>
    <w:rsid w:val="417C526D"/>
    <w:rsid w:val="41E05702"/>
    <w:rsid w:val="421C4F9D"/>
    <w:rsid w:val="42205F83"/>
    <w:rsid w:val="4372617E"/>
    <w:rsid w:val="44C7293C"/>
    <w:rsid w:val="4502689E"/>
    <w:rsid w:val="46965907"/>
    <w:rsid w:val="46B757D0"/>
    <w:rsid w:val="46DF106E"/>
    <w:rsid w:val="47356C51"/>
    <w:rsid w:val="473A7A88"/>
    <w:rsid w:val="47A25258"/>
    <w:rsid w:val="482320CA"/>
    <w:rsid w:val="482B760C"/>
    <w:rsid w:val="48DB092C"/>
    <w:rsid w:val="48E73B25"/>
    <w:rsid w:val="493C0C2B"/>
    <w:rsid w:val="49544EFA"/>
    <w:rsid w:val="495A3815"/>
    <w:rsid w:val="498B244B"/>
    <w:rsid w:val="49D852F0"/>
    <w:rsid w:val="4ADA738D"/>
    <w:rsid w:val="4B0D2380"/>
    <w:rsid w:val="4B436E5C"/>
    <w:rsid w:val="4BAA63A5"/>
    <w:rsid w:val="4C3A4F0B"/>
    <w:rsid w:val="4C7C0C1B"/>
    <w:rsid w:val="4C8F03BA"/>
    <w:rsid w:val="4CE40C0F"/>
    <w:rsid w:val="4D2047E2"/>
    <w:rsid w:val="4D5454B4"/>
    <w:rsid w:val="4D804D6F"/>
    <w:rsid w:val="4D964A39"/>
    <w:rsid w:val="4E1D2F14"/>
    <w:rsid w:val="4E2B52AD"/>
    <w:rsid w:val="4F685A3F"/>
    <w:rsid w:val="507806CB"/>
    <w:rsid w:val="50F41054"/>
    <w:rsid w:val="50FB6128"/>
    <w:rsid w:val="517749AA"/>
    <w:rsid w:val="517C717F"/>
    <w:rsid w:val="51CF64D2"/>
    <w:rsid w:val="52521C1F"/>
    <w:rsid w:val="5282434B"/>
    <w:rsid w:val="532E17BC"/>
    <w:rsid w:val="53644CCE"/>
    <w:rsid w:val="53652D20"/>
    <w:rsid w:val="536A1B45"/>
    <w:rsid w:val="53B62ACA"/>
    <w:rsid w:val="53EB5B61"/>
    <w:rsid w:val="54771722"/>
    <w:rsid w:val="54B74BF6"/>
    <w:rsid w:val="55154051"/>
    <w:rsid w:val="55F83550"/>
    <w:rsid w:val="560D4E55"/>
    <w:rsid w:val="5677786A"/>
    <w:rsid w:val="568E5BC1"/>
    <w:rsid w:val="56F21568"/>
    <w:rsid w:val="57123DD7"/>
    <w:rsid w:val="57480D0D"/>
    <w:rsid w:val="57793574"/>
    <w:rsid w:val="578A64C0"/>
    <w:rsid w:val="57AB3450"/>
    <w:rsid w:val="58010E16"/>
    <w:rsid w:val="58797928"/>
    <w:rsid w:val="58A55C85"/>
    <w:rsid w:val="590B7654"/>
    <w:rsid w:val="590C0DBC"/>
    <w:rsid w:val="59E119E1"/>
    <w:rsid w:val="59E76A06"/>
    <w:rsid w:val="5A077934"/>
    <w:rsid w:val="5A1E293A"/>
    <w:rsid w:val="5A93161B"/>
    <w:rsid w:val="5AA4537C"/>
    <w:rsid w:val="5ABC2E19"/>
    <w:rsid w:val="5B77359C"/>
    <w:rsid w:val="5BE31EBC"/>
    <w:rsid w:val="5C6A5FE5"/>
    <w:rsid w:val="5CDB3F15"/>
    <w:rsid w:val="5D0263F5"/>
    <w:rsid w:val="5D0E454A"/>
    <w:rsid w:val="5D8F5A98"/>
    <w:rsid w:val="5DA86E44"/>
    <w:rsid w:val="5DC064D8"/>
    <w:rsid w:val="5E110B31"/>
    <w:rsid w:val="5E293249"/>
    <w:rsid w:val="5E9D74A5"/>
    <w:rsid w:val="5EF97AD8"/>
    <w:rsid w:val="5F4213F5"/>
    <w:rsid w:val="5F463957"/>
    <w:rsid w:val="5F4C7BCA"/>
    <w:rsid w:val="5F6C4F51"/>
    <w:rsid w:val="5FC02550"/>
    <w:rsid w:val="5FE2309A"/>
    <w:rsid w:val="5FF02B6C"/>
    <w:rsid w:val="5FF91BCA"/>
    <w:rsid w:val="60427BFE"/>
    <w:rsid w:val="607E74F7"/>
    <w:rsid w:val="60F47F3E"/>
    <w:rsid w:val="61205EB9"/>
    <w:rsid w:val="62CF7171"/>
    <w:rsid w:val="6338261C"/>
    <w:rsid w:val="642A29A6"/>
    <w:rsid w:val="64B32888"/>
    <w:rsid w:val="655A188C"/>
    <w:rsid w:val="657C74B0"/>
    <w:rsid w:val="65B82FEB"/>
    <w:rsid w:val="66DA4750"/>
    <w:rsid w:val="67761D67"/>
    <w:rsid w:val="67BA50D3"/>
    <w:rsid w:val="69205651"/>
    <w:rsid w:val="692256D7"/>
    <w:rsid w:val="69632048"/>
    <w:rsid w:val="69823FE0"/>
    <w:rsid w:val="69B51B3D"/>
    <w:rsid w:val="6A1924CC"/>
    <w:rsid w:val="6A4A256F"/>
    <w:rsid w:val="6A4B4F39"/>
    <w:rsid w:val="6B3B2705"/>
    <w:rsid w:val="6B9A3F80"/>
    <w:rsid w:val="6BC8718D"/>
    <w:rsid w:val="6C6608F8"/>
    <w:rsid w:val="6CA1781B"/>
    <w:rsid w:val="6D290E89"/>
    <w:rsid w:val="6D6D1843"/>
    <w:rsid w:val="6DA215F2"/>
    <w:rsid w:val="6DA92E58"/>
    <w:rsid w:val="6E166DD9"/>
    <w:rsid w:val="6E305C2D"/>
    <w:rsid w:val="6E664D54"/>
    <w:rsid w:val="6F3D294F"/>
    <w:rsid w:val="6F492421"/>
    <w:rsid w:val="6F552B8D"/>
    <w:rsid w:val="6F55680C"/>
    <w:rsid w:val="6FEA51AB"/>
    <w:rsid w:val="704F10FA"/>
    <w:rsid w:val="706A6BCD"/>
    <w:rsid w:val="707E473D"/>
    <w:rsid w:val="71134D36"/>
    <w:rsid w:val="718A1768"/>
    <w:rsid w:val="72A83FC2"/>
    <w:rsid w:val="736269B7"/>
    <w:rsid w:val="73C17CAD"/>
    <w:rsid w:val="741538FF"/>
    <w:rsid w:val="74260818"/>
    <w:rsid w:val="742701D2"/>
    <w:rsid w:val="743818F1"/>
    <w:rsid w:val="74611AFA"/>
    <w:rsid w:val="7485730D"/>
    <w:rsid w:val="749D7973"/>
    <w:rsid w:val="751F1D93"/>
    <w:rsid w:val="759C7F1A"/>
    <w:rsid w:val="75C25245"/>
    <w:rsid w:val="75CB3A63"/>
    <w:rsid w:val="75FE6A8C"/>
    <w:rsid w:val="7603040C"/>
    <w:rsid w:val="764610F9"/>
    <w:rsid w:val="76EC6FCF"/>
    <w:rsid w:val="77CF29DA"/>
    <w:rsid w:val="77EA2B34"/>
    <w:rsid w:val="77F30965"/>
    <w:rsid w:val="77FC6832"/>
    <w:rsid w:val="78A5573B"/>
    <w:rsid w:val="791827B2"/>
    <w:rsid w:val="7920008E"/>
    <w:rsid w:val="796B3F02"/>
    <w:rsid w:val="7A9753FB"/>
    <w:rsid w:val="7AA11E35"/>
    <w:rsid w:val="7BBB02E1"/>
    <w:rsid w:val="7BF060E2"/>
    <w:rsid w:val="7CC6132E"/>
    <w:rsid w:val="7CF142F3"/>
    <w:rsid w:val="7D2401DD"/>
    <w:rsid w:val="7D4951A9"/>
    <w:rsid w:val="7D7E604D"/>
    <w:rsid w:val="7DB07478"/>
    <w:rsid w:val="7DB640EC"/>
    <w:rsid w:val="7E80368E"/>
    <w:rsid w:val="7EBC2DA7"/>
    <w:rsid w:val="7EDD4C99"/>
    <w:rsid w:val="7EF6653B"/>
    <w:rsid w:val="7FDC12D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Calibri" w:hAnsi="Calibri" w:eastAsia="宋体" w:cs="Times New Roman"/>
      <w:kern w:val="2"/>
      <w:sz w:val="21"/>
      <w:szCs w:val="24"/>
      <w:lang w:val="en-US" w:eastAsia="zh-CN" w:bidi="ar-SA"/>
    </w:rPr>
  </w:style>
  <w:style w:type="paragraph" w:styleId="2">
    <w:name w:val="heading 1"/>
    <w:basedOn w:val="1"/>
    <w:next w:val="1"/>
    <w:qFormat/>
    <w:uiPriority w:val="0"/>
    <w:pPr>
      <w:keepNext/>
      <w:keepLines/>
      <w:autoSpaceDE w:val="0"/>
      <w:autoSpaceDN w:val="0"/>
      <w:adjustRightInd w:val="0"/>
      <w:spacing w:before="240" w:after="120" w:line="300" w:lineRule="auto"/>
      <w:jc w:val="center"/>
      <w:outlineLvl w:val="0"/>
    </w:pPr>
    <w:rPr>
      <w:rFonts w:ascii="宋体"/>
      <w:b/>
      <w:kern w:val="44"/>
      <w:sz w:val="32"/>
      <w:szCs w:val="20"/>
    </w:rPr>
  </w:style>
  <w:style w:type="character" w:default="1" w:styleId="6">
    <w:name w:val="Default Paragraph Font"/>
    <w:autoRedefine/>
    <w:semiHidden/>
    <w:qFormat/>
    <w:uiPriority w:val="0"/>
  </w:style>
  <w:style w:type="table" w:default="1" w:styleId="5">
    <w:name w:val="Normal Table"/>
    <w:autoRedefine/>
    <w:semiHidden/>
    <w:qFormat/>
    <w:uiPriority w:val="0"/>
    <w:tblPr>
      <w:tblCellMar>
        <w:top w:w="0" w:type="dxa"/>
        <w:left w:w="108" w:type="dxa"/>
        <w:bottom w:w="0" w:type="dxa"/>
        <w:right w:w="108" w:type="dxa"/>
      </w:tblCellMar>
    </w:tblPr>
  </w:style>
  <w:style w:type="paragraph" w:styleId="3">
    <w:name w:val="footer"/>
    <w:basedOn w:val="1"/>
    <w:qFormat/>
    <w:uiPriority w:val="99"/>
    <w:pPr>
      <w:tabs>
        <w:tab w:val="center" w:pos="4153"/>
        <w:tab w:val="right" w:pos="8306"/>
      </w:tabs>
      <w:autoSpaceDE w:val="0"/>
      <w:autoSpaceDN w:val="0"/>
      <w:adjustRightInd w:val="0"/>
      <w:snapToGrid w:val="0"/>
      <w:jc w:val="left"/>
    </w:pPr>
    <w:rPr>
      <w:rFonts w:ascii="宋体"/>
      <w:kern w:val="0"/>
      <w:sz w:val="18"/>
      <w:szCs w:val="20"/>
    </w:rPr>
  </w:style>
  <w:style w:type="paragraph" w:styleId="4">
    <w:name w:val="header"/>
    <w:basedOn w:val="1"/>
    <w:qFormat/>
    <w:uiPriority w:val="0"/>
    <w:pPr>
      <w:pBdr>
        <w:bottom w:val="single" w:color="auto" w:sz="6" w:space="1"/>
      </w:pBdr>
      <w:tabs>
        <w:tab w:val="center" w:pos="4153"/>
        <w:tab w:val="right" w:pos="8306"/>
      </w:tabs>
      <w:snapToGrid w:val="0"/>
      <w:jc w:val="center"/>
    </w:pPr>
    <w:rPr>
      <w:sz w:val="18"/>
      <w:szCs w:val="18"/>
    </w:rPr>
  </w:style>
  <w:style w:type="character" w:styleId="7">
    <w:name w:val="page number"/>
    <w:basedOn w:val="6"/>
    <w:qFormat/>
    <w:uiPriority w:val="0"/>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3</Pages>
  <Words>0</Words>
  <Characters>0</Characters>
  <Lines>0</Lines>
  <Paragraphs>0</Paragraphs>
  <TotalTime>0</TotalTime>
  <ScaleCrop>false</ScaleCrop>
  <LinksUpToDate>false</LinksUpToDate>
  <CharactersWithSpaces>0</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2026-03-26T10:33:00Z</dcterms:created>
  <dc:creator>Administrator</dc:creator>
  <cp:lastModifiedBy>Administrator</cp:lastModifiedBy>
  <dcterms:modified xsi:type="dcterms:W3CDTF">2026-03-26T10:35:13Z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6D982AF5B10D4FC893F6BE97B2C6ED11_11</vt:lpwstr>
  </property>
  <property fmtid="{D5CDD505-2E9C-101B-9397-08002B2CF9AE}" pid="4" name="KSOTemplateDocerSaveRecord">
    <vt:lpwstr>eyJoZGlkIjoiNTE4OTM1Nzk2ZjcwY2UwOGIyMDhlYjBmMzk1OGVmMWEiLCJ1c2VySWQiOiIyNDY4MjE5NTkifQ==</vt:lpwstr>
  </property>
</Properties>
</file>