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山东第一医科大学（山东省医学科学院）循环肿瘤细胞精准检测系统的研发与应用</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SDGP370000000202602001622</w:t>
      </w:r>
    </w:p>
    <w:p>
      <w:pPr>
        <w:pStyle w:val="null5"/>
        <w:jc w:val="left"/>
        <w:outlineLvl w:val="2"/>
      </w:pP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山东天惠兴招标咨询有限公司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2026年05月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山东天惠兴招标咨询有限公司</w:t>
      </w:r>
      <w:r>
        <w:rPr>
          <w:rFonts w:ascii="仿宋_GB2312" w:hAnsi="仿宋_GB2312" w:cs="仿宋_GB2312" w:eastAsia="仿宋_GB2312"/>
        </w:rPr>
        <w:t xml:space="preserve">（以下简称“代理机构”）受 </w:t>
      </w:r>
      <w:r>
        <w:rPr>
          <w:rFonts w:ascii="仿宋_GB2312" w:hAnsi="仿宋_GB2312" w:cs="仿宋_GB2312" w:eastAsia="仿宋_GB2312"/>
        </w:rPr>
        <w:t>山东第一医科大学</w:t>
      </w:r>
      <w:r>
        <w:rPr>
          <w:rFonts w:ascii="仿宋_GB2312" w:hAnsi="仿宋_GB2312" w:cs="仿宋_GB2312" w:eastAsia="仿宋_GB2312"/>
        </w:rPr>
        <w:t xml:space="preserve"> （以下简称“采购人”）委托，拟对</w:t>
      </w:r>
      <w:r>
        <w:rPr>
          <w:rFonts w:ascii="仿宋_GB2312" w:hAnsi="仿宋_GB2312" w:cs="仿宋_GB2312" w:eastAsia="仿宋_GB2312"/>
        </w:rPr>
        <w:t>山东第一医科大学（山东省医学科学院）循环肿瘤细胞精准检测系统的研发与应用</w:t>
      </w:r>
      <w:r>
        <w:rPr>
          <w:rFonts w:ascii="仿宋_GB2312" w:hAnsi="仿宋_GB2312" w:cs="仿宋_GB2312" w:eastAsia="仿宋_GB2312"/>
        </w:rPr>
        <w:t xml:space="preserve"> 采用竞争性磋商方式进行采购，兹邀请符合资格条件的供应商参加磋商。本项目为山东省 </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SDGP370000000202602001622</w:t>
      </w:r>
    </w:p>
    <w:p>
      <w:pPr>
        <w:pStyle w:val="null5"/>
        <w:jc w:val="left"/>
        <w:outlineLvl w:val="2"/>
      </w:pPr>
      <w:r>
        <w:rPr>
          <w:rFonts w:ascii="仿宋_GB2312" w:hAnsi="仿宋_GB2312" w:cs="仿宋_GB2312" w:eastAsia="仿宋_GB2312"/>
          <w:sz w:val="28"/>
          <w:b/>
        </w:rPr>
        <w:t xml:space="preserve">1.2.采购项目名称： </w:t>
      </w:r>
      <w:r>
        <w:rPr>
          <w:rFonts w:ascii="仿宋_GB2312" w:hAnsi="仿宋_GB2312" w:cs="仿宋_GB2312" w:eastAsia="仿宋_GB2312"/>
          <w:sz w:val="28"/>
          <w:b/>
        </w:rPr>
        <w:t>山东第一医科大学（山东省医学科学院）循环肿瘤细胞精准检测系统的研发与应用</w:t>
      </w:r>
    </w:p>
    <w:p>
      <w:pPr>
        <w:pStyle w:val="null5"/>
        <w:jc w:val="left"/>
        <w:outlineLvl w:val="2"/>
      </w:pPr>
      <w:r>
        <w:rPr>
          <w:rFonts w:ascii="仿宋_GB2312" w:hAnsi="仿宋_GB2312" w:cs="仿宋_GB2312" w:eastAsia="仿宋_GB2312"/>
          <w:sz w:val="28"/>
          <w:b/>
        </w:rPr>
        <w:t>1.3.磋商项目简介</w:t>
      </w:r>
    </w:p>
    <w:p>
      <w:pPr>
        <w:pStyle w:val="null5"/>
        <w:ind w:firstLine="480"/>
        <w:jc w:val="left"/>
      </w:pPr>
      <w:r>
        <w:rPr>
          <w:rFonts w:ascii="仿宋_GB2312" w:hAnsi="仿宋_GB2312" w:cs="仿宋_GB2312" w:eastAsia="仿宋_GB2312"/>
        </w:rPr>
        <w:t>本项目为山东第一医科大学（山东省医学科学院）循环肿瘤细胞精准检测系统的研发与应用，主要开展循环肿瘤细胞扫描仪（名称以采购人最终确定为准）分类界定（具体产品管理分类依据药品监督管理局分类界定为准）、设备注册检测相关资料编制、质量体系、注册申报、生产许可等技术服务事宜相关事项。</w:t>
      </w:r>
    </w:p>
    <w:p>
      <w:pPr>
        <w:pStyle w:val="null5"/>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1、供应商须具有独立承担民事责任的能力，向采购人提供货物和服务的法人、其他组织或自然人。：供应商是企业（包括合伙企业）的，应提供其在工商部门注册的有效“企业法人营业执照”或“营业执照”；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p>
      <w:pPr>
        <w:pStyle w:val="null5"/>
        <w:jc w:val="left"/>
      </w:pPr>
      <w:r>
        <w:rPr>
          <w:rFonts w:ascii="仿宋_GB2312" w:hAnsi="仿宋_GB2312" w:cs="仿宋_GB2312" w:eastAsia="仿宋_GB2312"/>
        </w:rPr>
        <w:t>2、法定代表人资格证明书或法定代表人授权委托书：如法定代表人投标，需提供法定代表人资格证明书，授权代理人参加投标的，须提供法定代表人授权委托书及授权代理人在本单位缴纳社保证明（响应文件递交截止时间前近3个月的连续证明，加盖本单位公章，新成立企业提供成立以来的）</w:t>
      </w:r>
    </w:p>
    <w:p>
      <w:pPr>
        <w:pStyle w:val="null5"/>
        <w:jc w:val="left"/>
      </w:pPr>
      <w:r>
        <w:rPr>
          <w:rFonts w:ascii="仿宋_GB2312" w:hAnsi="仿宋_GB2312" w:cs="仿宋_GB2312" w:eastAsia="仿宋_GB2312"/>
        </w:rPr>
        <w:t>3、供应商须具有良好的商业信誉和健全的财务会计制度：供应商2024年度或2025年度财务报表（包括资产负债表、利润表，须体现供应商信息），或2024年度或2025年度经审计的审计报告，或其基本开户银行出具的开标前三个月内资信证明（供应商为事业单位法人、小规模纳税人或新成立企业，据实提供即可）</w:t>
      </w:r>
    </w:p>
    <w:p>
      <w:pPr>
        <w:pStyle w:val="null5"/>
        <w:jc w:val="left"/>
      </w:pPr>
      <w:r>
        <w:rPr>
          <w:rFonts w:ascii="仿宋_GB2312" w:hAnsi="仿宋_GB2312" w:cs="仿宋_GB2312" w:eastAsia="仿宋_GB2312"/>
        </w:rPr>
        <w:t>4、供应商须具有依法缴纳税收和社会保障资金的良好记录。：1.缴纳税收的证明材料是指供应商参加本次招标活动半年内任意一个月内缴纳税收的凭据。缴纳社会保障资金的证明材料是指参加本次招标活动半年内任意一个月内缴纳社会保险的凭据（专用收据或社会保险缴纳清单），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p>
      <w:pPr>
        <w:pStyle w:val="null5"/>
        <w:jc w:val="left"/>
      </w:pPr>
      <w:r>
        <w:rPr>
          <w:rFonts w:ascii="仿宋_GB2312" w:hAnsi="仿宋_GB2312" w:cs="仿宋_GB2312" w:eastAsia="仿宋_GB2312"/>
        </w:rPr>
        <w:t>5、供应商须具有履行合同所必需的设备和专业技术能力。：附具备履行合同所必需设备和专业技术能力声明函。</w:t>
      </w:r>
    </w:p>
    <w:p>
      <w:pPr>
        <w:pStyle w:val="null5"/>
        <w:jc w:val="left"/>
      </w:pPr>
      <w:r>
        <w:rPr>
          <w:rFonts w:ascii="仿宋_GB2312" w:hAnsi="仿宋_GB2312" w:cs="仿宋_GB2312" w:eastAsia="仿宋_GB2312"/>
        </w:rPr>
        <w:t>6、近三年内（本项目首次响应文件递交截止日前）供应商在经营活动中没有重大违法记录，其中：重大违法记录是指供应商因违法经营受到刑事处罚或者责令停产停业、吊销许可证或者执照、较大数额罚款等行政处罚。：供应商须提供参加政府采购活动前 3 年内在经营活动中没有重大违法记录的书面声明。</w:t>
      </w:r>
    </w:p>
    <w:p>
      <w:pPr>
        <w:pStyle w:val="null5"/>
        <w:jc w:val="left"/>
      </w:pPr>
      <w:r>
        <w:rPr>
          <w:rFonts w:ascii="仿宋_GB2312" w:hAnsi="仿宋_GB2312" w:cs="仿宋_GB2312" w:eastAsia="仿宋_GB2312"/>
        </w:rPr>
        <w:t>7、供应商在“信用中国”“中国政府采购网”网站被列入失信被执行人、重大税收违法失信主体名单的、政府采购严重违法失信行为记录名单（处罚期限尚未届满的）的，不得参与本项目的政府采购活动。：采购人或采购代理机构将在“信用中国”和“中国政府采购网”网站上对供应商进行查询并打印查询记录，查询截止时点为：递交首次响应文件截止时间当日。对经查询被“信用中国”网站、“中国政府采购网”网站被列入失信被执行人、重大税收违法失信主体名单的、政府采购严重违法失信行为记录名单（处罚期限尚未届满的）的供应商，其报价将按无效报价处理。两个以上的自然人、法人或者其他组织组成一个联合体，以一个供应商的身份共同参加政府采购活动的，应当对所有联合体成员进行信用记录查询，联合体成员存在上述不良信用记录的，视同联合体存在不良信用记录，其报价将按无效报价处理。</w:t>
      </w:r>
    </w:p>
    <w:p>
      <w:pPr>
        <w:pStyle w:val="null5"/>
        <w:jc w:val="left"/>
      </w:pPr>
      <w:r>
        <w:rPr>
          <w:rFonts w:ascii="仿宋_GB2312" w:hAnsi="仿宋_GB2312" w:cs="仿宋_GB2312" w:eastAsia="仿宋_GB2312"/>
        </w:rPr>
        <w:t>8、单位负责人为同一人或者存在直接控股、管理关系的不同供应商，不得参加同一包的报价或者未划分包的同一项目的报价。：供应商须提供书面声明。</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1、无：无</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二、供应商应当使用数字证书互认范围的数字证书和电子印章，参加本项目电子化采购活动；已按规定办理数字证书和电子印章的供应商，按照采购平台操作规范进行身份信息绑定、权限设置和系统操作。</w:t>
      </w:r>
    </w:p>
    <w:p>
      <w:pPr>
        <w:pStyle w:val="null5"/>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1.7.磋商文件获取时间、方式及地址</w:t>
      </w:r>
    </w:p>
    <w:p>
      <w:pPr>
        <w:pStyle w:val="null5"/>
        <w:ind w:firstLine="480"/>
        <w:jc w:val="both"/>
      </w:pPr>
      <w:r>
        <w:rPr>
          <w:rFonts w:ascii="仿宋_GB2312" w:hAnsi="仿宋_GB2312" w:cs="仿宋_GB2312" w:eastAsia="仿宋_GB2312"/>
        </w:rPr>
        <w:t>一、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一、提交响应文件截止时间及开启时间：详见采购公告。</w:t>
      </w:r>
    </w:p>
    <w:p>
      <w:pPr>
        <w:pStyle w:val="null5"/>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济南市槐荫区青岛路6699号（山东第一医科大学）</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山东第一医科大学</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山东天惠兴招标咨询有限公司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济南市高新区舜海路219号华创观礼中心A座302室</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崔老师</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0531-88953181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采购包1：390,000.00元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如接受联合体，需符合以下要求：</w:t>
            </w:r>
          </w:p>
          <w:p>
            <w:pPr>
              <w:pStyle w:val="null5"/>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w:t>
            </w:r>
          </w:p>
          <w:p>
            <w:pPr>
              <w:pStyle w:val="null5"/>
              <w:jc w:val="left"/>
            </w:pPr>
            <w:r>
              <w:rPr>
                <w:rFonts w:ascii="仿宋_GB2312" w:hAnsi="仿宋_GB2312" w:cs="仿宋_GB2312" w:eastAsia="仿宋_GB2312"/>
              </w:rPr>
              <w:t>本项目政府采购合同履行期限以实际签订期限为准，按照履约年度签订，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自中标（成交）公告发布之日起3个工作日内乙方向甲方指定账户缴纳合同金额5%的履约保证金（若乙方为中小企业，则该比例为2%）。履约保证金在验收合格后，没有任何质量问题，由乙方向甲方提交申请，甲方根据履约情况无息退还给乙方。2.履约保证金形式：电汇形式、银行汇票（供应商应在响应文件中明确具体递交形式）3.履约保证金缴纳信息：开户单位：山东第一医科大学；开户银行：中国农业银行股份有限公司济南槐荫支行；账号：15126101040096666。</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自报价截止之日起90个日历日。</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代理服务费收费标准：成交供应商在领取成交通知书和签订合同前，按计价格【2002】1980号文件收费标准的70%向采购代理机构交纳成交服务费</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无</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w:t>
            </w:r>
          </w:p>
          <w:p>
            <w:pPr>
              <w:pStyle w:val="null5"/>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16</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二、本磋商文件由</w:t>
      </w:r>
      <w:r>
        <w:rPr>
          <w:rFonts w:ascii="仿宋_GB2312" w:hAnsi="仿宋_GB2312" w:cs="仿宋_GB2312" w:eastAsia="仿宋_GB2312"/>
        </w:rPr>
        <w:t>山东第一医科大学</w:t>
      </w:r>
      <w:r>
        <w:rPr>
          <w:rFonts w:ascii="仿宋_GB2312" w:hAnsi="仿宋_GB2312" w:cs="仿宋_GB2312" w:eastAsia="仿宋_GB2312"/>
        </w:rPr>
        <w:t>和</w:t>
      </w:r>
      <w:r>
        <w:rPr>
          <w:rFonts w:ascii="仿宋_GB2312" w:hAnsi="仿宋_GB2312" w:cs="仿宋_GB2312" w:eastAsia="仿宋_GB2312"/>
        </w:rPr>
        <w:t>山东天惠兴招标咨询有限公司</w:t>
      </w:r>
      <w:r>
        <w:rPr>
          <w:rFonts w:ascii="仿宋_GB2312" w:hAnsi="仿宋_GB2312" w:cs="仿宋_GB2312" w:eastAsia="仿宋_GB2312"/>
        </w:rPr>
        <w:t>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山东第一医科大学</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山东天惠兴招标咨询有限公司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pPr>
      <w:r>
        <w:rPr>
          <w:rFonts w:ascii="仿宋_GB2312" w:hAnsi="仿宋_GB2312" w:cs="仿宋_GB2312" w:eastAsia="仿宋_GB2312"/>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服务完成且乙方向采购人发出项目验收建议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详见本项目采购合同具体要求。</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竞争性磋商文件技术要求、竞争性磋商文件响应及承诺内容</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竞争性磋商文件商务要求、竞争性磋商文件响应及承诺内容</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验收严格遵循相应标准，即乙方所交付的成果文件应完整、内容应满足相应要求。应符合采购文件及合同要求，响应文件及乙方在评审过程中做出的书面澄清及承诺，冲突之处执行最高标准。</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详见本项目采购合同具体要求。</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山东第一医科大学</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山东天惠兴招标咨询有限公司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山东天惠兴招标咨询有限公司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联系人：崔老师</w:t>
      </w:r>
    </w:p>
    <w:p>
      <w:pPr>
        <w:pStyle w:val="null5"/>
        <w:jc w:val="left"/>
      </w:pPr>
      <w:r>
        <w:rPr>
          <w:rFonts w:ascii="仿宋_GB2312" w:hAnsi="仿宋_GB2312" w:cs="仿宋_GB2312" w:eastAsia="仿宋_GB2312"/>
        </w:rPr>
        <w:t>联系电话：0531-88953181</w:t>
      </w:r>
    </w:p>
    <w:p>
      <w:pPr>
        <w:pStyle w:val="null5"/>
        <w:jc w:val="left"/>
      </w:pPr>
      <w:r>
        <w:rPr>
          <w:rFonts w:ascii="仿宋_GB2312" w:hAnsi="仿宋_GB2312" w:cs="仿宋_GB2312" w:eastAsia="仿宋_GB2312"/>
        </w:rPr>
        <w:t>地址：济南市高新区舜海路219号华创观礼中心A座302室。</w:t>
      </w:r>
    </w:p>
    <w:p>
      <w:pPr>
        <w:pStyle w:val="null5"/>
        <w:jc w:val="left"/>
      </w:pPr>
      <w:r>
        <w:rPr>
          <w:rFonts w:ascii="仿宋_GB2312" w:hAnsi="仿宋_GB2312" w:cs="仿宋_GB2312" w:eastAsia="仿宋_GB2312"/>
        </w:rPr>
        <w:t>邮编：250000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五、供应商通过书面形式线下向采购人或者代理机构提交质疑资料。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390,000.00</w:t>
      </w:r>
    </w:p>
    <w:p>
      <w:pPr>
        <w:pStyle w:val="null5"/>
        <w:jc w:val="left"/>
      </w:pPr>
      <w:r>
        <w:rPr>
          <w:rFonts w:ascii="仿宋_GB2312" w:hAnsi="仿宋_GB2312" w:cs="仿宋_GB2312" w:eastAsia="仿宋_GB2312"/>
        </w:rPr>
        <w:t>采购包最高限价（元）: 390,000.00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循环肿瘤细胞精准检测系统的研发与应用</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390,000.00</w:t>
            </w:r>
          </w:p>
        </w:tc>
        <w:tc>
          <w:tcPr>
            <w:tcW w:type="dxa" w:w="923"/>
          </w:tcPr>
          <w:p>
            <w:pPr>
              <w:pStyle w:val="null5"/>
              <w:jc w:val="left"/>
            </w:pPr>
            <w:r>
              <w:rPr>
                <w:rFonts w:ascii="仿宋_GB2312" w:hAnsi="仿宋_GB2312" w:cs="仿宋_GB2312" w:eastAsia="仿宋_GB2312"/>
              </w:rPr>
              <w:t>其他未列明行业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循环肿瘤细胞精准检测系统的研发与应用</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390,000.00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循环肿瘤细胞精准检测系统的研发与应用</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循环肿瘤细胞精准检测系统的研发与应用</w:t>
            </w:r>
          </w:p>
        </w:tc>
        <w:tc>
          <w:tcPr>
            <w:tcW w:type="dxa" w:w="2076"/>
          </w:tcPr>
          <w:p>
            <w:pPr>
              <w:pStyle w:val="null5"/>
              <w:jc w:val="left"/>
            </w:pPr>
            <w:r>
              <w:rPr>
                <w:rFonts w:ascii="仿宋_GB2312" w:hAnsi="仿宋_GB2312" w:cs="仿宋_GB2312" w:eastAsia="仿宋_GB2312"/>
              </w:rPr>
              <w:t>循环肿瘤细胞精准检测系统的研发与应用</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390,000.00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标的名称：循环肿瘤细胞精准检测系统的研发与应用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一、服务需求（一）项目概况</w:t>
            </w:r>
          </w:p>
        </w:tc>
        <w:tc>
          <w:tcPr>
            <w:tcW w:type="dxa" w:w="2076"/>
          </w:tcPr>
          <w:p>
            <w:pPr>
              <w:pStyle w:val="null5"/>
              <w:jc w:val="left"/>
            </w:pPr>
            <w:r>
              <w:rPr>
                <w:rFonts w:ascii="仿宋_GB2312" w:hAnsi="仿宋_GB2312" w:cs="仿宋_GB2312" w:eastAsia="仿宋_GB2312"/>
              </w:rPr>
              <w:t>本项目为山东第一医科大学（山东省医学科学院）循环肿瘤细胞精准检测系统的研发与应用，主要开展循环肿瘤细胞扫描仪</w:t>
            </w:r>
            <w:r>
              <w:rPr>
                <w:rFonts w:ascii="仿宋_GB2312" w:hAnsi="仿宋_GB2312" w:cs="仿宋_GB2312" w:eastAsia="仿宋_GB2312"/>
                <w:sz w:val="21"/>
              </w:rPr>
              <w:t>（名称以采购人最终确定为准）</w:t>
            </w:r>
            <w:r>
              <w:rPr>
                <w:rFonts w:ascii="仿宋_GB2312" w:hAnsi="仿宋_GB2312" w:cs="仿宋_GB2312" w:eastAsia="仿宋_GB2312"/>
              </w:rPr>
              <w:t>分类界定（具体产品管理分类依据药品监督管理局分类界定为准）、设备注册检测相关资料编制、质量体系、注册申报、生产许可等技术服务事宜相关事项。</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一、服务需求（二）服务内容1.分类界定</w:t>
            </w:r>
          </w:p>
        </w:tc>
        <w:tc>
          <w:tcPr>
            <w:tcW w:type="dxa" w:w="2076"/>
          </w:tcPr>
          <w:p>
            <w:pPr>
              <w:pStyle w:val="null5"/>
              <w:jc w:val="left"/>
            </w:pPr>
            <w:r>
              <w:rPr>
                <w:rFonts w:ascii="仿宋_GB2312" w:hAnsi="仿宋_GB2312" w:cs="仿宋_GB2312" w:eastAsia="仿宋_GB2312"/>
              </w:rPr>
              <w:t>1）协助完成文件编制：分类界定工作严格执行《国家药监局关于规范医疗器械产品分类界定工作的公告（2024年第59号）》的要求，文件资料内容包含但不限于：分类界定申请登记表、产品说明书、产品完整照片、使用过程照片、操作视频、产品技术要求、工作原理、作用机理和主要风险点等关键内容的证据性材料、同类产品情况综述等，文件资料应满足《医疗器械分类界定申请资料填报指南》的规定。 分类界定资料编制过程中应重点考虑甲方目的，围绕甲方目的编制相关资料，提供相应证据。</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一、服务需求（二）服务内容1.分类界定</w:t>
            </w:r>
          </w:p>
        </w:tc>
        <w:tc>
          <w:tcPr>
            <w:tcW w:type="dxa" w:w="2076"/>
          </w:tcPr>
          <w:p>
            <w:pPr>
              <w:pStyle w:val="null5"/>
              <w:jc w:val="left"/>
            </w:pPr>
            <w:r>
              <w:rPr>
                <w:rFonts w:ascii="仿宋_GB2312" w:hAnsi="仿宋_GB2312" w:cs="仿宋_GB2312" w:eastAsia="仿宋_GB2312"/>
              </w:rPr>
              <w:t>2）完成申报，与药监局沟通，发补问题整改：按照《尚未列入《分类目录》医疗器械分类界定工作程序》进行申报，及时回复药监局发补问题，针对药监局发补意见进行整改。</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一、服务需求（二）服务内容2.完成送检工作</w:t>
            </w:r>
          </w:p>
        </w:tc>
        <w:tc>
          <w:tcPr>
            <w:tcW w:type="dxa" w:w="2076"/>
          </w:tcPr>
          <w:p>
            <w:pPr>
              <w:pStyle w:val="null5"/>
              <w:jc w:val="left"/>
            </w:pPr>
            <w:r>
              <w:rPr>
                <w:rFonts w:ascii="仿宋_GB2312" w:hAnsi="仿宋_GB2312" w:cs="仿宋_GB2312" w:eastAsia="仿宋_GB2312"/>
              </w:rPr>
              <w:t>1）资料编制，包括但不限于送检资料编制、文档编制等：送检资料主要包含：检验委托合同、技术要求、说明书、产品标签、关键元器件清单及安全认证证书、EMC基本情况表、承诺书、风险管理文档、可用性工程文档以及检验过程中要求提供的其它文件。相关文件应获得检验机构的认可，并最终通过药监局的审核。送检资料应及时整理完成，并在检验机构完成检测受理。</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一、服务需求（二）服务内容2.完成送检工作</w:t>
            </w:r>
          </w:p>
        </w:tc>
        <w:tc>
          <w:tcPr>
            <w:tcW w:type="dxa" w:w="2076"/>
          </w:tcPr>
          <w:p>
            <w:pPr>
              <w:pStyle w:val="null5"/>
              <w:jc w:val="left"/>
            </w:pPr>
            <w:r>
              <w:rPr>
                <w:rFonts w:ascii="仿宋_GB2312" w:hAnsi="仿宋_GB2312" w:cs="仿宋_GB2312" w:eastAsia="仿宋_GB2312"/>
              </w:rPr>
              <w:t>2）送检过程中文件修订及出现问题沟通协调：检测检验过程中如工程师提出疑问，应对相关资料进行整改至获得检验机构认可。EMC检测如遇不合格项，应协助甲方进行整改。协助GB/T 25000.51的检测，审核检测报告。培训YY/T 0664 标准，并针对整个生存周期文档提供范例及文档审核。负责建立配置管理工具（如gitlab）的建设及使用培训。负责上位机漏扫报告的生成。</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一、服务需求（二）服务内容3.协助编制质量管理体系</w:t>
            </w:r>
          </w:p>
        </w:tc>
        <w:tc>
          <w:tcPr>
            <w:tcW w:type="dxa" w:w="2076"/>
          </w:tcPr>
          <w:p>
            <w:pPr>
              <w:pStyle w:val="null5"/>
              <w:jc w:val="left"/>
            </w:pPr>
            <w:r>
              <w:rPr>
                <w:rFonts w:ascii="仿宋_GB2312" w:hAnsi="仿宋_GB2312" w:cs="仿宋_GB2312" w:eastAsia="仿宋_GB2312"/>
              </w:rPr>
              <w:t>1）质量体系文件编制：根据最新版《医疗器械生产质量管理规范》的要求编制质量体系相关文件，搭建符合企业、产品实际情况的质量管理体系。对企业现场进行规划布置，对相关人员进行法规及检测能力培训，确保相关人员能够针对产品进行质量控制检测、可以应对质量体系现场检查要求。</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一、服务需求（二）服务内容3.协助编制质量管理体系</w:t>
            </w:r>
          </w:p>
        </w:tc>
        <w:tc>
          <w:tcPr>
            <w:tcW w:type="dxa" w:w="2076"/>
          </w:tcPr>
          <w:p>
            <w:pPr>
              <w:pStyle w:val="null5"/>
              <w:jc w:val="left"/>
            </w:pPr>
            <w:r>
              <w:rPr>
                <w:rFonts w:ascii="仿宋_GB2312" w:hAnsi="仿宋_GB2312" w:cs="仿宋_GB2312" w:eastAsia="仿宋_GB2312"/>
              </w:rPr>
              <w:t>2）模拟核查：根据《医疗器械生产质量管理规范现场检查指导原则》、《医疗器械注册申报现场核查指南》开展模拟核查，及时发现问题并进行整改，从而保证正式现场核查时不会因为核查不通过而导致注册活动失败。</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一、服务需求（二）服务内容4.注册申报</w:t>
            </w:r>
          </w:p>
        </w:tc>
        <w:tc>
          <w:tcPr>
            <w:tcW w:type="dxa" w:w="2076"/>
          </w:tcPr>
          <w:p>
            <w:pPr>
              <w:pStyle w:val="null5"/>
              <w:jc w:val="left"/>
            </w:pPr>
            <w:r>
              <w:rPr>
                <w:rFonts w:ascii="仿宋_GB2312" w:hAnsi="仿宋_GB2312" w:cs="仿宋_GB2312" w:eastAsia="仿宋_GB2312"/>
              </w:rPr>
              <w:t>1）注册申报资料编制：根据《医疗器械注册申报资料要求及说明》编制产品申报资料，申报资料应满足《医疗器械注册申报资料和批准证明文件格式要求》，且应顺利通过药监局审核。申报资料应在注册检验期间编制完成。申报资料目录如下：</w:t>
            </w:r>
          </w:p>
          <w:tbl>
            <w:tblPr>
              <w:tblBorders>
                <w:top w:val="none" w:color="000000" w:sz="4"/>
                <w:left w:val="none" w:color="000000" w:sz="4"/>
                <w:bottom w:val="none" w:color="000000" w:sz="4"/>
                <w:right w:val="none" w:color="000000" w:sz="4"/>
                <w:insideH w:val="none"/>
                <w:insideV w:val="none"/>
              </w:tblBorders>
            </w:tblPr>
            <w:tblGrid>
              <w:gridCol w:w="618"/>
              <w:gridCol w:w="1237"/>
            </w:tblGrid>
            <w:tr>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申报资料一级标题</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申报资料二级标题</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1.监管信息</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1.1章节目录</w:t>
                  </w:r>
                </w:p>
                <w:p>
                  <w:pPr>
                    <w:pStyle w:val="null5"/>
                    <w:jc w:val="both"/>
                  </w:pPr>
                  <w:r>
                    <w:rPr>
                      <w:rFonts w:ascii="仿宋_GB2312" w:hAnsi="仿宋_GB2312" w:cs="仿宋_GB2312" w:eastAsia="仿宋_GB2312"/>
                      <w:sz w:val="24"/>
                    </w:rPr>
                    <w:t>1.2申请表</w:t>
                  </w:r>
                </w:p>
                <w:p>
                  <w:pPr>
                    <w:pStyle w:val="null5"/>
                    <w:jc w:val="both"/>
                  </w:pPr>
                  <w:r>
                    <w:rPr>
                      <w:rFonts w:ascii="仿宋_GB2312" w:hAnsi="仿宋_GB2312" w:cs="仿宋_GB2312" w:eastAsia="仿宋_GB2312"/>
                      <w:sz w:val="24"/>
                    </w:rPr>
                    <w:t>1.3术语、缩写词列表</w:t>
                  </w:r>
                </w:p>
                <w:p>
                  <w:pPr>
                    <w:pStyle w:val="null5"/>
                    <w:jc w:val="both"/>
                  </w:pPr>
                  <w:r>
                    <w:rPr>
                      <w:rFonts w:ascii="仿宋_GB2312" w:hAnsi="仿宋_GB2312" w:cs="仿宋_GB2312" w:eastAsia="仿宋_GB2312"/>
                      <w:sz w:val="24"/>
                    </w:rPr>
                    <w:t>1.4产品列表</w:t>
                  </w:r>
                </w:p>
                <w:p>
                  <w:pPr>
                    <w:pStyle w:val="null5"/>
                    <w:jc w:val="both"/>
                  </w:pPr>
                  <w:r>
                    <w:rPr>
                      <w:rFonts w:ascii="仿宋_GB2312" w:hAnsi="仿宋_GB2312" w:cs="仿宋_GB2312" w:eastAsia="仿宋_GB2312"/>
                      <w:sz w:val="24"/>
                    </w:rPr>
                    <w:t>1.5关联文件</w:t>
                  </w:r>
                </w:p>
                <w:p>
                  <w:pPr>
                    <w:pStyle w:val="null5"/>
                    <w:jc w:val="both"/>
                  </w:pPr>
                  <w:r>
                    <w:rPr>
                      <w:rFonts w:ascii="仿宋_GB2312" w:hAnsi="仿宋_GB2312" w:cs="仿宋_GB2312" w:eastAsia="仿宋_GB2312"/>
                      <w:sz w:val="24"/>
                    </w:rPr>
                    <w:t>1.6申报前与监管机构的联系情况和沟通记录</w:t>
                  </w:r>
                </w:p>
                <w:p>
                  <w:pPr>
                    <w:pStyle w:val="null5"/>
                    <w:jc w:val="both"/>
                  </w:pPr>
                  <w:r>
                    <w:rPr>
                      <w:rFonts w:ascii="仿宋_GB2312" w:hAnsi="仿宋_GB2312" w:cs="仿宋_GB2312" w:eastAsia="仿宋_GB2312"/>
                      <w:sz w:val="24"/>
                    </w:rPr>
                    <w:t>1.7符合性声明</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2.综述资料</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2.1章节目录</w:t>
                  </w:r>
                </w:p>
                <w:p>
                  <w:pPr>
                    <w:pStyle w:val="null5"/>
                    <w:jc w:val="both"/>
                  </w:pPr>
                  <w:r>
                    <w:rPr>
                      <w:rFonts w:ascii="仿宋_GB2312" w:hAnsi="仿宋_GB2312" w:cs="仿宋_GB2312" w:eastAsia="仿宋_GB2312"/>
                      <w:sz w:val="24"/>
                    </w:rPr>
                    <w:t>2.2概述</w:t>
                  </w:r>
                </w:p>
                <w:p>
                  <w:pPr>
                    <w:pStyle w:val="null5"/>
                    <w:jc w:val="both"/>
                  </w:pPr>
                  <w:r>
                    <w:rPr>
                      <w:rFonts w:ascii="仿宋_GB2312" w:hAnsi="仿宋_GB2312" w:cs="仿宋_GB2312" w:eastAsia="仿宋_GB2312"/>
                      <w:sz w:val="24"/>
                    </w:rPr>
                    <w:t>2.3产品描述</w:t>
                  </w:r>
                </w:p>
                <w:p>
                  <w:pPr>
                    <w:pStyle w:val="null5"/>
                    <w:jc w:val="both"/>
                  </w:pPr>
                  <w:r>
                    <w:rPr>
                      <w:rFonts w:ascii="仿宋_GB2312" w:hAnsi="仿宋_GB2312" w:cs="仿宋_GB2312" w:eastAsia="仿宋_GB2312"/>
                      <w:sz w:val="24"/>
                    </w:rPr>
                    <w:t>2.4适用范围和禁忌证</w:t>
                  </w:r>
                </w:p>
                <w:p>
                  <w:pPr>
                    <w:pStyle w:val="null5"/>
                    <w:jc w:val="both"/>
                  </w:pPr>
                  <w:r>
                    <w:rPr>
                      <w:rFonts w:ascii="仿宋_GB2312" w:hAnsi="仿宋_GB2312" w:cs="仿宋_GB2312" w:eastAsia="仿宋_GB2312"/>
                      <w:sz w:val="24"/>
                    </w:rPr>
                    <w:t>2.5申报产品上市历史</w:t>
                  </w:r>
                </w:p>
                <w:p>
                  <w:pPr>
                    <w:pStyle w:val="null5"/>
                    <w:jc w:val="both"/>
                  </w:pPr>
                  <w:r>
                    <w:rPr>
                      <w:rFonts w:ascii="仿宋_GB2312" w:hAnsi="仿宋_GB2312" w:cs="仿宋_GB2312" w:eastAsia="仿宋_GB2312"/>
                      <w:sz w:val="24"/>
                    </w:rPr>
                    <w:t>2.6其他需说明的内容</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3.非临床资料</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3.1章节目录</w:t>
                  </w:r>
                </w:p>
                <w:p>
                  <w:pPr>
                    <w:pStyle w:val="null5"/>
                    <w:jc w:val="both"/>
                  </w:pPr>
                  <w:r>
                    <w:rPr>
                      <w:rFonts w:ascii="仿宋_GB2312" w:hAnsi="仿宋_GB2312" w:cs="仿宋_GB2312" w:eastAsia="仿宋_GB2312"/>
                      <w:sz w:val="24"/>
                    </w:rPr>
                    <w:t>3.2产品风险管理资料</w:t>
                  </w:r>
                </w:p>
                <w:p>
                  <w:pPr>
                    <w:pStyle w:val="null5"/>
                    <w:jc w:val="both"/>
                  </w:pPr>
                  <w:r>
                    <w:rPr>
                      <w:rFonts w:ascii="仿宋_GB2312" w:hAnsi="仿宋_GB2312" w:cs="仿宋_GB2312" w:eastAsia="仿宋_GB2312"/>
                      <w:sz w:val="24"/>
                    </w:rPr>
                    <w:t>3.3医疗器械安全和性能基本原则清单</w:t>
                  </w:r>
                </w:p>
                <w:p>
                  <w:pPr>
                    <w:pStyle w:val="null5"/>
                    <w:jc w:val="both"/>
                  </w:pPr>
                  <w:r>
                    <w:rPr>
                      <w:rFonts w:ascii="仿宋_GB2312" w:hAnsi="仿宋_GB2312" w:cs="仿宋_GB2312" w:eastAsia="仿宋_GB2312"/>
                      <w:sz w:val="24"/>
                    </w:rPr>
                    <w:t>3.4产品技术要求及检验报告</w:t>
                  </w:r>
                </w:p>
                <w:p>
                  <w:pPr>
                    <w:pStyle w:val="null5"/>
                    <w:jc w:val="both"/>
                  </w:pPr>
                  <w:r>
                    <w:rPr>
                      <w:rFonts w:ascii="仿宋_GB2312" w:hAnsi="仿宋_GB2312" w:cs="仿宋_GB2312" w:eastAsia="仿宋_GB2312"/>
                      <w:sz w:val="24"/>
                    </w:rPr>
                    <w:t>3.5研究资料</w:t>
                  </w:r>
                </w:p>
                <w:p>
                  <w:pPr>
                    <w:pStyle w:val="null5"/>
                    <w:jc w:val="both"/>
                  </w:pPr>
                  <w:r>
                    <w:rPr>
                      <w:rFonts w:ascii="仿宋_GB2312" w:hAnsi="仿宋_GB2312" w:cs="仿宋_GB2312" w:eastAsia="仿宋_GB2312"/>
                      <w:sz w:val="24"/>
                    </w:rPr>
                    <w:t>3.6非临床文献</w:t>
                  </w:r>
                </w:p>
                <w:p>
                  <w:pPr>
                    <w:pStyle w:val="null5"/>
                    <w:jc w:val="both"/>
                  </w:pPr>
                  <w:r>
                    <w:rPr>
                      <w:rFonts w:ascii="仿宋_GB2312" w:hAnsi="仿宋_GB2312" w:cs="仿宋_GB2312" w:eastAsia="仿宋_GB2312"/>
                      <w:sz w:val="24"/>
                    </w:rPr>
                    <w:t>3.7稳定性研究</w:t>
                  </w:r>
                </w:p>
                <w:p>
                  <w:pPr>
                    <w:pStyle w:val="null5"/>
                    <w:jc w:val="both"/>
                  </w:pPr>
                  <w:r>
                    <w:rPr>
                      <w:rFonts w:ascii="仿宋_GB2312" w:hAnsi="仿宋_GB2312" w:cs="仿宋_GB2312" w:eastAsia="仿宋_GB2312"/>
                      <w:sz w:val="24"/>
                    </w:rPr>
                    <w:t>3.8其他资料</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4.临床评价资料</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4.1章节目录</w:t>
                  </w:r>
                </w:p>
                <w:p>
                  <w:pPr>
                    <w:pStyle w:val="null5"/>
                    <w:jc w:val="both"/>
                  </w:pPr>
                  <w:r>
                    <w:rPr>
                      <w:rFonts w:ascii="仿宋_GB2312" w:hAnsi="仿宋_GB2312" w:cs="仿宋_GB2312" w:eastAsia="仿宋_GB2312"/>
                      <w:sz w:val="24"/>
                    </w:rPr>
                    <w:t>4.2临床评价资料</w:t>
                  </w:r>
                </w:p>
                <w:p>
                  <w:pPr>
                    <w:pStyle w:val="null5"/>
                    <w:jc w:val="both"/>
                  </w:pPr>
                  <w:r>
                    <w:rPr>
                      <w:rFonts w:ascii="仿宋_GB2312" w:hAnsi="仿宋_GB2312" w:cs="仿宋_GB2312" w:eastAsia="仿宋_GB2312"/>
                      <w:sz w:val="24"/>
                    </w:rPr>
                    <w:t>4.3其他资料</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5.产品说明书和标签样稿</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5.1章节目录</w:t>
                  </w:r>
                </w:p>
                <w:p>
                  <w:pPr>
                    <w:pStyle w:val="null5"/>
                    <w:jc w:val="both"/>
                  </w:pPr>
                  <w:r>
                    <w:rPr>
                      <w:rFonts w:ascii="仿宋_GB2312" w:hAnsi="仿宋_GB2312" w:cs="仿宋_GB2312" w:eastAsia="仿宋_GB2312"/>
                      <w:sz w:val="24"/>
                    </w:rPr>
                    <w:t>5.2产品说明书</w:t>
                  </w:r>
                </w:p>
                <w:p>
                  <w:pPr>
                    <w:pStyle w:val="null5"/>
                    <w:jc w:val="both"/>
                  </w:pPr>
                  <w:r>
                    <w:rPr>
                      <w:rFonts w:ascii="仿宋_GB2312" w:hAnsi="仿宋_GB2312" w:cs="仿宋_GB2312" w:eastAsia="仿宋_GB2312"/>
                      <w:sz w:val="24"/>
                    </w:rPr>
                    <w:t>5.3标签样稿</w:t>
                  </w:r>
                </w:p>
                <w:p>
                  <w:pPr>
                    <w:pStyle w:val="null5"/>
                    <w:jc w:val="both"/>
                  </w:pPr>
                  <w:r>
                    <w:rPr>
                      <w:rFonts w:ascii="仿宋_GB2312" w:hAnsi="仿宋_GB2312" w:cs="仿宋_GB2312" w:eastAsia="仿宋_GB2312"/>
                      <w:sz w:val="24"/>
                    </w:rPr>
                    <w:t>5.4其他资料</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6.质量管理体系文件</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6.1综述</w:t>
                  </w:r>
                </w:p>
                <w:p>
                  <w:pPr>
                    <w:pStyle w:val="null5"/>
                    <w:jc w:val="both"/>
                  </w:pPr>
                  <w:r>
                    <w:rPr>
                      <w:rFonts w:ascii="仿宋_GB2312" w:hAnsi="仿宋_GB2312" w:cs="仿宋_GB2312" w:eastAsia="仿宋_GB2312"/>
                      <w:sz w:val="24"/>
                    </w:rPr>
                    <w:t>6.2章节目录</w:t>
                  </w:r>
                </w:p>
                <w:p>
                  <w:pPr>
                    <w:pStyle w:val="null5"/>
                    <w:jc w:val="both"/>
                  </w:pPr>
                  <w:r>
                    <w:rPr>
                      <w:rFonts w:ascii="仿宋_GB2312" w:hAnsi="仿宋_GB2312" w:cs="仿宋_GB2312" w:eastAsia="仿宋_GB2312"/>
                      <w:sz w:val="24"/>
                    </w:rPr>
                    <w:t>6.3生产制造信息</w:t>
                  </w:r>
                </w:p>
                <w:p>
                  <w:pPr>
                    <w:pStyle w:val="null5"/>
                    <w:jc w:val="both"/>
                  </w:pPr>
                  <w:r>
                    <w:rPr>
                      <w:rFonts w:ascii="仿宋_GB2312" w:hAnsi="仿宋_GB2312" w:cs="仿宋_GB2312" w:eastAsia="仿宋_GB2312"/>
                      <w:sz w:val="24"/>
                    </w:rPr>
                    <w:t>6.4质量管理体系程序</w:t>
                  </w:r>
                </w:p>
                <w:p>
                  <w:pPr>
                    <w:pStyle w:val="null5"/>
                    <w:jc w:val="both"/>
                  </w:pPr>
                  <w:r>
                    <w:rPr>
                      <w:rFonts w:ascii="仿宋_GB2312" w:hAnsi="仿宋_GB2312" w:cs="仿宋_GB2312" w:eastAsia="仿宋_GB2312"/>
                      <w:sz w:val="24"/>
                    </w:rPr>
                    <w:t>6.5管理职责程序</w:t>
                  </w:r>
                </w:p>
                <w:p>
                  <w:pPr>
                    <w:pStyle w:val="null5"/>
                    <w:jc w:val="both"/>
                  </w:pPr>
                  <w:r>
                    <w:rPr>
                      <w:rFonts w:ascii="仿宋_GB2312" w:hAnsi="仿宋_GB2312" w:cs="仿宋_GB2312" w:eastAsia="仿宋_GB2312"/>
                      <w:sz w:val="24"/>
                    </w:rPr>
                    <w:t>6.6资源管理程序</w:t>
                  </w:r>
                </w:p>
                <w:p>
                  <w:pPr>
                    <w:pStyle w:val="null5"/>
                    <w:jc w:val="both"/>
                  </w:pPr>
                  <w:r>
                    <w:rPr>
                      <w:rFonts w:ascii="仿宋_GB2312" w:hAnsi="仿宋_GB2312" w:cs="仿宋_GB2312" w:eastAsia="仿宋_GB2312"/>
                      <w:sz w:val="24"/>
                    </w:rPr>
                    <w:t>6.7产品实现程序</w:t>
                  </w:r>
                </w:p>
                <w:p>
                  <w:pPr>
                    <w:pStyle w:val="null5"/>
                    <w:jc w:val="both"/>
                  </w:pPr>
                  <w:r>
                    <w:rPr>
                      <w:rFonts w:ascii="仿宋_GB2312" w:hAnsi="仿宋_GB2312" w:cs="仿宋_GB2312" w:eastAsia="仿宋_GB2312"/>
                      <w:sz w:val="24"/>
                    </w:rPr>
                    <w:t>6.8质量管理体系的测量、分析和改进程序</w:t>
                  </w:r>
                </w:p>
                <w:p>
                  <w:pPr>
                    <w:pStyle w:val="null5"/>
                    <w:jc w:val="both"/>
                  </w:pPr>
                  <w:r>
                    <w:rPr>
                      <w:rFonts w:ascii="仿宋_GB2312" w:hAnsi="仿宋_GB2312" w:cs="仿宋_GB2312" w:eastAsia="仿宋_GB2312"/>
                      <w:sz w:val="24"/>
                    </w:rPr>
                    <w:t>6.9其他质量体系程序信息</w:t>
                  </w:r>
                </w:p>
                <w:p>
                  <w:pPr>
                    <w:pStyle w:val="null5"/>
                    <w:jc w:val="both"/>
                  </w:pPr>
                  <w:r>
                    <w:rPr>
                      <w:rFonts w:ascii="仿宋_GB2312" w:hAnsi="仿宋_GB2312" w:cs="仿宋_GB2312" w:eastAsia="仿宋_GB2312"/>
                      <w:sz w:val="24"/>
                    </w:rPr>
                    <w:t>6.10质量管理体系核查文件</w:t>
                  </w:r>
                </w:p>
              </w:tc>
            </w:tr>
          </w:tbl>
          <w:p>
            <w:pPr>
              <w:pStyle w:val="null5"/>
              <w:jc w:val="left"/>
            </w:pPr>
            <w:r>
              <w:rPr>
                <w:rFonts w:ascii="仿宋_GB2312" w:hAnsi="仿宋_GB2312" w:cs="仿宋_GB2312" w:eastAsia="仿宋_GB2312"/>
              </w:rPr>
              <w:t xml:space="preserve"> </w:t>
            </w:r>
          </w:p>
          <w:p>
            <w:pPr>
              <w:pStyle w:val="null5"/>
              <w:jc w:val="left"/>
            </w:pP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一、服务需求（二）服务内容4.注册申报</w:t>
            </w:r>
          </w:p>
        </w:tc>
        <w:tc>
          <w:tcPr>
            <w:tcW w:type="dxa" w:w="2076"/>
          </w:tcPr>
          <w:p>
            <w:pPr>
              <w:pStyle w:val="null5"/>
              <w:jc w:val="left"/>
            </w:pPr>
            <w:r>
              <w:rPr>
                <w:rFonts w:ascii="仿宋_GB2312" w:hAnsi="仿宋_GB2312" w:cs="仿宋_GB2312" w:eastAsia="仿宋_GB2312"/>
              </w:rPr>
              <w:t>2）注册审评沟通、审评发补整改：收到药监局整改意见后，及时进行沟通交流，准确把握意见的具体内容，协助甲方及时制定整改方案，整改方案获得主审认可后，及时完成整改。</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一、服务需求（二）服务内容5.同品种比对报告撰写</w:t>
            </w:r>
          </w:p>
        </w:tc>
        <w:tc>
          <w:tcPr>
            <w:tcW w:type="dxa" w:w="2076"/>
          </w:tcPr>
          <w:p>
            <w:pPr>
              <w:pStyle w:val="null5"/>
              <w:jc w:val="left"/>
            </w:pPr>
            <w:r>
              <w:rPr>
                <w:rFonts w:ascii="仿宋_GB2312" w:hAnsi="仿宋_GB2312" w:cs="仿宋_GB2312" w:eastAsia="仿宋_GB2312"/>
              </w:rPr>
              <w:t>阐述该品种的行业地位、应用现状、推广必要性及开展比对的政策/市场依据。</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一、服务需求（二）服务内容6.生产许可申报</w:t>
            </w:r>
          </w:p>
        </w:tc>
        <w:tc>
          <w:tcPr>
            <w:tcW w:type="dxa" w:w="2076"/>
          </w:tcPr>
          <w:p>
            <w:pPr>
              <w:pStyle w:val="null5"/>
              <w:jc w:val="left"/>
            </w:pPr>
            <w:r>
              <w:rPr>
                <w:rFonts w:ascii="仿宋_GB2312" w:hAnsi="仿宋_GB2312" w:cs="仿宋_GB2312" w:eastAsia="仿宋_GB2312"/>
              </w:rPr>
              <w:t>1）申报资料编制：根据《医疗器械生产监督管理办法》开展生产许可申报工作，编制医疗器械生产许可申报资料，且应在取得注册证后完成生产许可资料的提交受理事宜。医疗器械生产许可资料包含但不限于以下资料： （一）营业执照复印件； （二）申请企业持有的所生产医疗器械的注册证及产品技术要求复印件； （三）法定代表人、企业负责人身份证明复印件； （四）生产、质量和技术负责人的身份、学历、职称证明复印件； （五）生产管理、质量检验岗位从业人员学历、职称一览表； （六）生产场地的证明文件，有特殊生产环境要求的还应当提交设施、环境的证明文件复印件； （七）主要生产设备和检验设备目录； （八）质量手册和程序文件； （九）工艺流程图； （十）经办人授权证明； （十一）其他证明资料。</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一、服务需求（二）服务内容6.生产许可申报</w:t>
            </w:r>
          </w:p>
        </w:tc>
        <w:tc>
          <w:tcPr>
            <w:tcW w:type="dxa" w:w="2076"/>
          </w:tcPr>
          <w:p>
            <w:pPr>
              <w:pStyle w:val="null5"/>
              <w:jc w:val="left"/>
            </w:pPr>
            <w:r>
              <w:rPr>
                <w:rFonts w:ascii="仿宋_GB2312" w:hAnsi="仿宋_GB2312" w:cs="仿宋_GB2312" w:eastAsia="仿宋_GB2312"/>
              </w:rPr>
              <w:t>2）审评沟通、审评发补整改：收到药监局整改意见后，及时与审核老师进行沟通交流，完成整改工作并及时提交补正资料。</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一、服务需求（二）服务内容7.设计开发</w:t>
            </w:r>
          </w:p>
        </w:tc>
        <w:tc>
          <w:tcPr>
            <w:tcW w:type="dxa" w:w="2076"/>
          </w:tcPr>
          <w:p>
            <w:pPr>
              <w:pStyle w:val="null5"/>
              <w:jc w:val="left"/>
            </w:pPr>
            <w:r>
              <w:rPr>
                <w:rFonts w:ascii="仿宋_GB2312" w:hAnsi="仿宋_GB2312" w:cs="仿宋_GB2312" w:eastAsia="仿宋_GB2312"/>
              </w:rPr>
              <w:t>1）资料（硬件+软件）模板提供及编制辅导：编制符合《医疗器械生产质量管理规范》的主机（硬件）、软件（嵌入式软件、扫描软件等）相关设计开发资料模板（如：设计开发策划、输入、输出、软件可追溯性分析、系统测试、用户测试等），指导设计开发人员完成设计开发相关资料的填写。相关内容应得到药监局老师的认可。指导产品设计开发环节并对产品涉及的强制性国标、行标进行摸底测试，EMC常见不合格项目预防性设计培训。</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一、服务需求（二）服务内容7.设计开发</w:t>
            </w:r>
          </w:p>
        </w:tc>
        <w:tc>
          <w:tcPr>
            <w:tcW w:type="dxa" w:w="2076"/>
          </w:tcPr>
          <w:p>
            <w:pPr>
              <w:pStyle w:val="null5"/>
              <w:jc w:val="left"/>
            </w:pPr>
            <w:r>
              <w:rPr>
                <w:rFonts w:ascii="仿宋_GB2312" w:hAnsi="仿宋_GB2312" w:cs="仿宋_GB2312" w:eastAsia="仿宋_GB2312"/>
              </w:rPr>
              <w:t>2）生产现场布置指导：根据产品生产工艺流程等情况合理规划生产现场、仓库、实验室等场所，使之满足《医疗器械生产质量管理规范》现场检查的要求，并得到药监局老师的认可。</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一、服务需求（二）服务内容7.设计开发</w:t>
            </w:r>
          </w:p>
        </w:tc>
        <w:tc>
          <w:tcPr>
            <w:tcW w:type="dxa" w:w="2076"/>
          </w:tcPr>
          <w:p>
            <w:pPr>
              <w:pStyle w:val="null5"/>
              <w:jc w:val="left"/>
            </w:pPr>
            <w:r>
              <w:rPr>
                <w:rFonts w:ascii="仿宋_GB2312" w:hAnsi="仿宋_GB2312" w:cs="仿宋_GB2312" w:eastAsia="仿宋_GB2312"/>
              </w:rPr>
              <w:t>3）相关人员培训：对全体员工进行医疗器械相关法规的培训，使之了解相关要求，可以应对现场检查。对检验人员进行质量控制相关培训，使之可以完成相关工作。</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一、服务需求（二）服务内容7.设计开发</w:t>
            </w:r>
          </w:p>
        </w:tc>
        <w:tc>
          <w:tcPr>
            <w:tcW w:type="dxa" w:w="2076"/>
          </w:tcPr>
          <w:p>
            <w:pPr>
              <w:pStyle w:val="null5"/>
              <w:jc w:val="left"/>
            </w:pPr>
            <w:r>
              <w:rPr>
                <w:rFonts w:ascii="仿宋_GB2312" w:hAnsi="仿宋_GB2312" w:cs="仿宋_GB2312" w:eastAsia="仿宋_GB2312"/>
              </w:rPr>
              <w:t>4）产品出厂检验项目辅导、安规检验设备使用辅导，辅助质量体系记录类文件填写。根据产品实际情况编制《成品出厂检验规程》。对相关人员进行成品出厂检验培训，使之熟练掌握相关检验仪器的使用及根据检验方法完成检验。辅助相关人员对质量体系全流程相关记录（如：人员架构、文件管理、设计开发、采购、生产、质量管理、销售和售后服务等）的填写，避免出现逻辑性矛盾，且顺利通过药监局验收。</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一、服务需求（三）服务要求</w:t>
            </w:r>
          </w:p>
        </w:tc>
        <w:tc>
          <w:tcPr>
            <w:tcW w:type="dxa" w:w="2076"/>
          </w:tcPr>
          <w:p>
            <w:pPr>
              <w:pStyle w:val="null5"/>
              <w:jc w:val="left"/>
            </w:pPr>
            <w:r>
              <w:rPr>
                <w:rFonts w:ascii="仿宋_GB2312" w:hAnsi="仿宋_GB2312" w:cs="仿宋_GB2312" w:eastAsia="仿宋_GB2312"/>
              </w:rPr>
              <w:t>1.供应商应有相关产品注册申报成功经验。</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一、服务需求（三）服务要求</w:t>
            </w:r>
          </w:p>
        </w:tc>
        <w:tc>
          <w:tcPr>
            <w:tcW w:type="dxa" w:w="2076"/>
          </w:tcPr>
          <w:p>
            <w:pPr>
              <w:pStyle w:val="null5"/>
              <w:jc w:val="left"/>
            </w:pPr>
            <w:r>
              <w:rPr>
                <w:rFonts w:ascii="仿宋_GB2312" w:hAnsi="仿宋_GB2312" w:cs="仿宋_GB2312" w:eastAsia="仿宋_GB2312"/>
              </w:rPr>
              <w:t>2.服务团队要求 1）团队人员有生物医学工程、机械、统计分析等本科及以上学历背景，并提供项目负责人开标时间前近半年任意一个月在本单位社保缴纳证明。 2）团队有医疗器械设计开发经验，能合理把控设计开发问题。 3）拟投入人员不少于5人。</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详见技术要求</w:t>
            </w:r>
          </w:p>
        </w:tc>
        <w:tc>
          <w:tcPr>
            <w:tcW w:type="dxa" w:w="4153"/>
          </w:tcPr>
          <w:p>
            <w:pPr>
              <w:pStyle w:val="null5"/>
              <w:jc w:val="left"/>
            </w:pPr>
            <w:r>
              <w:rPr>
                <w:rFonts w:ascii="仿宋_GB2312" w:hAnsi="仿宋_GB2312" w:cs="仿宋_GB2312" w:eastAsia="仿宋_GB2312"/>
              </w:rPr>
              <w:t>详见技术要求</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服务期:自合同签订之日起一年内完成所有服务内容。</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服务地点:采购人指定地点。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付款方式：在合同签订生效且具备实施条件后，乙方向甲方项目负责人或指定人申请，达到付款条件起10日内，支付合同总金额的40.00%。验收合格后 ，达到付款条件起10日内，支付合同总金额的 60.00%。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履约验收：1、本项目采购合同为甲方进行履约验收的主要依据。服务完成且合同履行达到验收条件时,乙方向采购人发出项目验收建议。甲方应及时对乙方提供的服务进行验收。甲方将专门成立履约验收小组，验收人员与采购人员相分离。验收小组应当认真履行项目验收职责，按照验收方案实施验收，确保项目验收意见客观真实反映合同履行情况。</w:t>
              <w:br/>
              <w:t>2、验收方案依据项目验收清单和标准、采购文件中对项目的技术和商务规定要求、乙方响应承诺情况、合同明确约定的要求等制定。</w:t>
              <w:br/>
              <w:t>3、验收严格遵循相应标准，即乙方所交付的成果文件应完整、内容应满足相应要求。应符合采购文件及合同要求，响应文件及乙方在评审过程中做出的书面澄清及承诺，冲突之处执行最高标准。</w:t>
              <w:br/>
              <w:t>4、验收小组将根据验收方案，对乙方所交付的成果按照采购文件、响应文件、采购合同进行逐一核对、验收,并做好验收记录，以书面形式作出结论性意见，经确认后形成项目验收书，并填报验收单和《履约验收书》办理验收后付款。</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无：</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 服务要求”：</w:t>
      </w:r>
    </w:p>
    <w:p>
      <w:pPr>
        <w:pStyle w:val="null5"/>
        <w:ind w:firstLine="480"/>
        <w:jc w:val="left"/>
      </w:pPr>
      <w:r>
        <w:rPr>
          <w:rFonts w:ascii="仿宋_GB2312" w:hAnsi="仿宋_GB2312" w:cs="仿宋_GB2312" w:eastAsia="仿宋_GB2312"/>
          <w:sz w:val="24"/>
          <w:color w:val="000000"/>
          <w:shd w:fill="FFFFFF" w:val="clear"/>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21"/>
        </w:rPr>
        <w:t>/</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一、本项目磋商小组成员人数应为 3 人以上单数，其中评审专家不得少于成员总数的三分之二。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五、磋商文件载明的成交原则不合法的；</w:t>
      </w:r>
    </w:p>
    <w:p>
      <w:pPr>
        <w:pStyle w:val="null5"/>
        <w:ind w:firstLine="480"/>
        <w:jc w:val="left"/>
      </w:pPr>
      <w:r>
        <w:rPr>
          <w:rFonts w:ascii="仿宋_GB2312" w:hAnsi="仿宋_GB2312" w:cs="仿宋_GB2312" w:eastAsia="仿宋_GB2312"/>
        </w:rPr>
        <w:t>六、磋商文件有违反国家其他有关强制性规定的情形。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供应商须具有独立承担民事责任的能力，向采购人提供货物和服务的法人、其他组织或自然人。</w:t>
            </w:r>
          </w:p>
        </w:tc>
        <w:tc>
          <w:tcPr>
            <w:tcW w:type="dxa" w:w="3322"/>
          </w:tcPr>
          <w:p>
            <w:pPr>
              <w:pStyle w:val="null5"/>
              <w:jc w:val="left"/>
            </w:pPr>
            <w:r>
              <w:rPr>
                <w:rFonts w:ascii="仿宋_GB2312" w:hAnsi="仿宋_GB2312" w:cs="仿宋_GB2312" w:eastAsia="仿宋_GB2312"/>
              </w:rPr>
              <w:t>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法定代表人资格证明书或法定代表人授权委托书</w:t>
            </w:r>
          </w:p>
        </w:tc>
        <w:tc>
          <w:tcPr>
            <w:tcW w:type="dxa" w:w="3322"/>
          </w:tcPr>
          <w:p>
            <w:pPr>
              <w:pStyle w:val="null5"/>
              <w:jc w:val="left"/>
            </w:pPr>
            <w:r>
              <w:rPr>
                <w:rFonts w:ascii="仿宋_GB2312" w:hAnsi="仿宋_GB2312" w:cs="仿宋_GB2312" w:eastAsia="仿宋_GB2312"/>
              </w:rPr>
              <w:t>如法定代表人投标，需提供法定代表人资格证明书，授权代理人参加投标的，须提供法定代表人授权委托书及授权代理人在本单位缴纳社保证明（响应文件递交截止时间前近3个月的连续证明，加盖本单位公章，新成立企业提供成立以来的）</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供应商须具有良好的商业信誉和健全的财务会计制度</w:t>
            </w:r>
          </w:p>
        </w:tc>
        <w:tc>
          <w:tcPr>
            <w:tcW w:type="dxa" w:w="3322"/>
          </w:tcPr>
          <w:p>
            <w:pPr>
              <w:pStyle w:val="null5"/>
              <w:jc w:val="left"/>
            </w:pPr>
            <w:r>
              <w:rPr>
                <w:rFonts w:ascii="仿宋_GB2312" w:hAnsi="仿宋_GB2312" w:cs="仿宋_GB2312" w:eastAsia="仿宋_GB2312"/>
              </w:rPr>
              <w:t>供应商2024年度或2025年度财务报表（包括资产负债表、利润表，须体现供应商信息），或2024年度或2025年度经审计的审计报告，或其基本开户银行出具的开标前三个月内资信证明（供应商为事业单位法人、小规模纳税人或新成立企业，据实提供即可）</w:t>
            </w:r>
          </w:p>
        </w:tc>
        <w:tc>
          <w:tcPr>
            <w:tcW w:type="dxa" w:w="1661"/>
          </w:tcPr>
          <w:p>
            <w:pPr>
              <w:pStyle w:val="null5"/>
              <w:jc w:val="left"/>
            </w:pPr>
            <w:r>
              <w:rPr>
                <w:rFonts w:ascii="仿宋_GB2312" w:hAnsi="仿宋_GB2312" w:cs="仿宋_GB2312" w:eastAsia="仿宋_GB2312"/>
              </w:rPr>
              <w:t>具有良好的商业信誉和健全的财务会计制度证明材料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供应商须具有依法缴纳税收和社会保障资金的良好记录。</w:t>
            </w:r>
          </w:p>
        </w:tc>
        <w:tc>
          <w:tcPr>
            <w:tcW w:type="dxa" w:w="3322"/>
          </w:tcPr>
          <w:p>
            <w:pPr>
              <w:pStyle w:val="null5"/>
              <w:jc w:val="left"/>
            </w:pPr>
            <w:r>
              <w:rPr>
                <w:rFonts w:ascii="仿宋_GB2312" w:hAnsi="仿宋_GB2312" w:cs="仿宋_GB2312" w:eastAsia="仿宋_GB2312"/>
              </w:rPr>
              <w:t>1.缴纳税收的证明材料是指供应商参加本次招标活动半年内任意一个月内缴纳税收的凭据。缴纳社会保障资金的证明材料是指参加本次招标活动半年内任意一个月内缴纳社会保险的凭据（专用收据或社会保险缴纳清单），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tc>
        <w:tc>
          <w:tcPr>
            <w:tcW w:type="dxa" w:w="1661"/>
          </w:tcPr>
          <w:p>
            <w:pPr>
              <w:pStyle w:val="null5"/>
              <w:jc w:val="left"/>
            </w:pPr>
            <w:r>
              <w:rPr>
                <w:rFonts w:ascii="仿宋_GB2312" w:hAnsi="仿宋_GB2312" w:cs="仿宋_GB2312" w:eastAsia="仿宋_GB2312"/>
              </w:rPr>
              <w:t>依法缴纳税收和社会保障资金的相关证明材料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供应商须具有履行合同所必需的设备和专业技术能力。</w:t>
            </w:r>
          </w:p>
        </w:tc>
        <w:tc>
          <w:tcPr>
            <w:tcW w:type="dxa" w:w="3322"/>
          </w:tcPr>
          <w:p>
            <w:pPr>
              <w:pStyle w:val="null5"/>
              <w:jc w:val="left"/>
            </w:pPr>
            <w:r>
              <w:rPr>
                <w:rFonts w:ascii="仿宋_GB2312" w:hAnsi="仿宋_GB2312" w:cs="仿宋_GB2312" w:eastAsia="仿宋_GB2312"/>
              </w:rPr>
              <w:t>附具备履行合同所必需设备和专业技术能力声明函。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近三年内（本项目首次响应文件递交截止日前）供应商在经营活动中没有重大违法记录，其中：重大违法记录是指供应商因违法经营受到刑事处罚或者责令停产停业、吊销许可证或者执照、较大数额罚款等行政处罚。</w:t>
            </w:r>
          </w:p>
        </w:tc>
        <w:tc>
          <w:tcPr>
            <w:tcW w:type="dxa" w:w="3322"/>
          </w:tcPr>
          <w:p>
            <w:pPr>
              <w:pStyle w:val="null5"/>
              <w:jc w:val="left"/>
            </w:pPr>
            <w:r>
              <w:rPr>
                <w:rFonts w:ascii="仿宋_GB2312" w:hAnsi="仿宋_GB2312" w:cs="仿宋_GB2312" w:eastAsia="仿宋_GB2312"/>
              </w:rPr>
              <w:t>供应商须提供参加政府采购活动前 3 年内在经营活动中没有重大违法记录的书面声明。</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供应商在“信用中国”“中国政府采购网”网站被列入失信被执行人、重大税收违法失信主体名单的、政府采购严重违法失信行为记录名单（处罚期限尚未届满的）的，不得参与本项目的政府采购活动。</w:t>
            </w:r>
          </w:p>
        </w:tc>
        <w:tc>
          <w:tcPr>
            <w:tcW w:type="dxa" w:w="3322"/>
          </w:tcPr>
          <w:p>
            <w:pPr>
              <w:pStyle w:val="null5"/>
              <w:jc w:val="left"/>
            </w:pPr>
            <w:r>
              <w:rPr>
                <w:rFonts w:ascii="仿宋_GB2312" w:hAnsi="仿宋_GB2312" w:cs="仿宋_GB2312" w:eastAsia="仿宋_GB2312"/>
              </w:rPr>
              <w:t>采购人或采购代理机构将在“信用中国”和“中国政府采购网”网站上对供应商进行查询并打印查询记录，查询截止时点为：递交首次响应文件截止时间当日。对经查询被“信用中国”网站、“中国政府采购网”网站被列入失信被执行人、重大税收违法失信主体名单的、政府采购严重违法失信行为记录名单（处罚期限尚未届满的）的供应商，其报价将按无效报价处理。两个以上的自然人、法人或者其他组织组成一个联合体，以一个供应商的身份共同参加政府采购活动的，应当对所有联合体成员进行信用记录查询，联合体成员存在上述不良信用记录的，视同联合体存在不良信用记录，其报价将按无效报价处理。</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单位负责人为同一人或者存在直接控股、管理关系的不同供应商，不得参加同一包的报价或者未划分包的同一项目的报价。</w:t>
            </w:r>
          </w:p>
        </w:tc>
        <w:tc>
          <w:tcPr>
            <w:tcW w:type="dxa" w:w="3322"/>
          </w:tcPr>
          <w:p>
            <w:pPr>
              <w:pStyle w:val="null5"/>
              <w:jc w:val="left"/>
            </w:pPr>
            <w:r>
              <w:rPr>
                <w:rFonts w:ascii="仿宋_GB2312" w:hAnsi="仿宋_GB2312" w:cs="仿宋_GB2312" w:eastAsia="仿宋_GB2312"/>
              </w:rPr>
              <w:t>供应商须提供书面声明。</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本采购包属于专门面向小微企业采购。</w:t>
            </w:r>
          </w:p>
        </w:tc>
        <w:tc>
          <w:tcPr>
            <w:tcW w:type="dxa" w:w="3322"/>
          </w:tcPr>
          <w:p>
            <w:pPr>
              <w:pStyle w:val="null5"/>
              <w:jc w:val="left"/>
            </w:pPr>
            <w:r>
              <w:rPr>
                <w:rFonts w:ascii="仿宋_GB2312" w:hAnsi="仿宋_GB2312" w:cs="仿宋_GB2312" w:eastAsia="仿宋_GB2312"/>
              </w:rPr>
              <w:t>本采购包为专门面向小微企业采购，供应商须提供中小企业声明函。监狱企业、残疾人福利性单位视同小型、微型企业。</w:t>
            </w:r>
          </w:p>
        </w:tc>
        <w:tc>
          <w:tcPr>
            <w:tcW w:type="dxa" w:w="1661"/>
          </w:tcPr>
          <w:p>
            <w:pPr>
              <w:pStyle w:val="null5"/>
              <w:jc w:val="left"/>
            </w:pPr>
            <w:r>
              <w:rPr>
                <w:rFonts w:ascii="仿宋_GB2312" w:hAnsi="仿宋_GB2312" w:cs="仿宋_GB2312" w:eastAsia="仿宋_GB2312"/>
              </w:rPr>
              <w:t>中小企业声明函（服务）、残疾人福利性单位声明函、监狱企业的证明文件</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无</w:t>
            </w:r>
          </w:p>
        </w:tc>
        <w:tc>
          <w:tcPr>
            <w:tcW w:type="dxa" w:w="3322"/>
          </w:tcPr>
          <w:p>
            <w:pPr>
              <w:pStyle w:val="null5"/>
              <w:jc w:val="left"/>
            </w:pPr>
            <w:r>
              <w:rPr>
                <w:rFonts w:ascii="仿宋_GB2312" w:hAnsi="仿宋_GB2312" w:cs="仿宋_GB2312" w:eastAsia="仿宋_GB2312"/>
              </w:rPr>
              <w:t>无</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项目负责人简历表、自觉抵制政府采购领域商业贿赂行为承诺书、封面、拟投入项目人员一览表、业绩一览表、响应书、商务偏离表、其他材料、具有良好的商业信誉和健全的财务会计制度证明材料、供应商应提交的相关证明材料、法定代表人资格证明书或法定代表人授权委托书、监狱企业的证明文件、具备履行合同所必需设备和专业技术能力的声明函、中小企业声明函（服务）、技术偏离表、关于本国产品成本占比的承诺函（若有）、开标（报价）一览表、具有独立承担民事责任的能力证明文件、供应商承诺函、投标（响应）报价明细表、技术评审方案内容、残疾人福利性单位声明函、单位负责人不为同一人或者不存在直接控股、管理关系的书面声明、关于符合本国产品标准的声明函（若有）、无重大违法记录声明函、依法缴纳税收和社会保障资金的相关证明材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报价须是唯一的（磋商文件另有规定的除外），不得超出采购预算或最高限价</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按要求提供响应书、供应商自觉抵制政府采购领域商业贿赂行为承诺书、供应商承诺函。</w:t>
            </w:r>
          </w:p>
        </w:tc>
        <w:tc>
          <w:tcPr>
            <w:tcW w:type="dxa" w:w="1661"/>
          </w:tcPr>
          <w:p>
            <w:pPr>
              <w:pStyle w:val="null5"/>
              <w:jc w:val="left"/>
            </w:pPr>
            <w:r>
              <w:rPr>
                <w:rFonts w:ascii="仿宋_GB2312" w:hAnsi="仿宋_GB2312" w:cs="仿宋_GB2312" w:eastAsia="仿宋_GB2312"/>
              </w:rPr>
              <w:t>供应商承诺函、响应书、自觉抵制政府采购领域商业贿赂行为承诺书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响应有效期</w:t>
            </w:r>
          </w:p>
        </w:tc>
        <w:tc>
          <w:tcPr>
            <w:tcW w:type="dxa" w:w="3322"/>
          </w:tcPr>
          <w:p>
            <w:pPr>
              <w:pStyle w:val="null5"/>
              <w:jc w:val="left"/>
            </w:pPr>
            <w:r>
              <w:rPr>
                <w:rFonts w:ascii="仿宋_GB2312" w:hAnsi="仿宋_GB2312" w:cs="仿宋_GB2312" w:eastAsia="仿宋_GB2312"/>
              </w:rPr>
              <w:t>响应有效期须满足供应商须知附表相应要求。</w:t>
            </w:r>
          </w:p>
        </w:tc>
        <w:tc>
          <w:tcPr>
            <w:tcW w:type="dxa" w:w="1661"/>
          </w:tcPr>
          <w:p>
            <w:pPr>
              <w:pStyle w:val="null5"/>
              <w:jc w:val="left"/>
            </w:pPr>
            <w:r>
              <w:rPr>
                <w:rFonts w:ascii="仿宋_GB2312" w:hAnsi="仿宋_GB2312" w:cs="仿宋_GB2312" w:eastAsia="仿宋_GB2312"/>
              </w:rPr>
              <w:t>响应书</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实质性条款响应情况</w:t>
            </w:r>
          </w:p>
        </w:tc>
        <w:tc>
          <w:tcPr>
            <w:tcW w:type="dxa" w:w="3322"/>
          </w:tcPr>
          <w:p>
            <w:pPr>
              <w:pStyle w:val="null5"/>
              <w:jc w:val="left"/>
            </w:pPr>
            <w:r>
              <w:rPr>
                <w:rFonts w:ascii="仿宋_GB2312" w:hAnsi="仿宋_GB2312" w:cs="仿宋_GB2312" w:eastAsia="仿宋_GB2312"/>
              </w:rPr>
              <w:t>满足磋商文件中带“★”号的实质性条款要求，满足磋商文件中规定的其他实质性要求。</w:t>
            </w:r>
          </w:p>
        </w:tc>
        <w:tc>
          <w:tcPr>
            <w:tcW w:type="dxa" w:w="1661"/>
          </w:tcPr>
          <w:p>
            <w:pPr>
              <w:pStyle w:val="null5"/>
              <w:jc w:val="left"/>
            </w:pPr>
            <w:r>
              <w:rPr>
                <w:rFonts w:ascii="仿宋_GB2312" w:hAnsi="仿宋_GB2312" w:cs="仿宋_GB2312" w:eastAsia="仿宋_GB2312"/>
              </w:rPr>
              <w:t>技术偏离表、响应书、商务偏离表、其他材料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附加条件</w:t>
            </w:r>
          </w:p>
        </w:tc>
        <w:tc>
          <w:tcPr>
            <w:tcW w:type="dxa" w:w="3322"/>
          </w:tcPr>
          <w:p>
            <w:pPr>
              <w:pStyle w:val="null5"/>
              <w:jc w:val="left"/>
            </w:pPr>
            <w:r>
              <w:rPr>
                <w:rFonts w:ascii="仿宋_GB2312" w:hAnsi="仿宋_GB2312" w:cs="仿宋_GB2312" w:eastAsia="仿宋_GB2312"/>
              </w:rPr>
              <w:t>响应文件未含有采购人不能接受的附加条件</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无围标串标的情形</w:t>
            </w:r>
          </w:p>
        </w:tc>
        <w:tc>
          <w:tcPr>
            <w:tcW w:type="dxa" w:w="3322"/>
          </w:tcPr>
          <w:p>
            <w:pPr>
              <w:pStyle w:val="null5"/>
              <w:jc w:val="left"/>
            </w:pPr>
            <w:r>
              <w:rPr>
                <w:rFonts w:ascii="仿宋_GB2312" w:hAnsi="仿宋_GB2312" w:cs="仿宋_GB2312" w:eastAsia="仿宋_GB2312"/>
              </w:rPr>
              <w:t>评审现场未发现投标人涉嫌串标围标的情形</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本国产品</w:t>
            </w:r>
          </w:p>
        </w:tc>
        <w:tc>
          <w:tcPr>
            <w:tcW w:type="dxa" w:w="3322"/>
          </w:tcPr>
          <w:p>
            <w:pPr>
              <w:pStyle w:val="null5"/>
              <w:jc w:val="left"/>
            </w:pPr>
            <w:r>
              <w:rPr>
                <w:rFonts w:ascii="仿宋_GB2312" w:hAnsi="仿宋_GB2312" w:cs="仿宋_GB2312" w:eastAsia="仿宋_GB2312"/>
              </w:rPr>
              <w:t>本项目不涉及。 根据《国务院办公厅关于在政府采购中实施本国产品标准及相关政策的通知》，实施本国产品标准及相关政策。1、政府采购活动中既有本国产品又有非本国产品参与竞争的，依法对本国产品给予价格评审优惠，对本国产品的报价给予20%的价格扣除，用扣除后的价格参与评审。对于仅有本国产品参与竞争的政府采购项目，本国产品不享受价格扣除评审优惠。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3、投标时，供应商应对其提供的产品出具《关于符合本国产品标准的声明函》或财政部会同有关部门规定的有关证明文件。采购代理机构将随中标、成交结果同时公告中标、成交供应商提供的《关于符合本国产品标准的声明函》或有关证明文件。4、磋商小组应对《声明函》的完整性、准确性进行审查。评审中发现《声明函》内容含义不明确、同类事项与响应文件表述不一致或者有明显文字错误等情况的，磋商小组应当以书面形式要求供应商在规定时间内（不少于30分钟）作出必要的澄清、说明或者补正。经澄清、说明或者补正的《声明函》仍然不符合《通知》规定要求的，供应商提供的相关产品视为不符合本国产品标准。供应商提供虚假《声明函》、虚假证明文件谋取中标的，依照《中华人民共和国政府采购法》等法律法规规定追究相应责任。</w:t>
            </w:r>
          </w:p>
        </w:tc>
        <w:tc>
          <w:tcPr>
            <w:tcW w:type="dxa" w:w="1661"/>
          </w:tcPr>
          <w:p>
            <w:pPr>
              <w:pStyle w:val="null5"/>
              <w:jc w:val="left"/>
            </w:pPr>
            <w:r>
              <w:rPr>
                <w:rFonts w:ascii="仿宋_GB2312" w:hAnsi="仿宋_GB2312" w:cs="仿宋_GB2312" w:eastAsia="仿宋_GB2312"/>
              </w:rPr>
              <w:t>关于本国产品成本占比的承诺函（若有）、关于符合本国产品标准的声明函（若有）</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其他</w:t>
            </w:r>
          </w:p>
        </w:tc>
        <w:tc>
          <w:tcPr>
            <w:tcW w:type="dxa" w:w="3322"/>
          </w:tcPr>
          <w:p>
            <w:pPr>
              <w:pStyle w:val="null5"/>
              <w:jc w:val="left"/>
            </w:pPr>
            <w:r>
              <w:rPr>
                <w:rFonts w:ascii="仿宋_GB2312" w:hAnsi="仿宋_GB2312" w:cs="仿宋_GB2312" w:eastAsia="仿宋_GB2312"/>
              </w:rPr>
              <w:t>存在法律、法规和竞争性磋商文件规定的其他无效情形</w:t>
            </w:r>
          </w:p>
        </w:tc>
        <w:tc>
          <w:tcPr>
            <w:tcW w:type="dxa" w:w="1661"/>
          </w:tcPr>
          <w:p>
            <w:pPr>
              <w:pStyle w:val="null5"/>
              <w:jc w:val="left"/>
            </w:pPr>
            <w:r>
              <w:rPr>
                <w:rFonts w:ascii="仿宋_GB2312" w:hAnsi="仿宋_GB2312" w:cs="仿宋_GB2312" w:eastAsia="仿宋_GB2312"/>
              </w:rPr>
              <w:t>其他材料</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5.3.9.代理机构现场复核评审结果</w:t>
      </w:r>
    </w:p>
    <w:p>
      <w:pPr>
        <w:pStyle w:val="null5"/>
        <w:ind w:firstLine="480"/>
        <w:jc w:val="left"/>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5.3.10.推荐成交候选供应商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5.3.11.出具磋商报告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5.3.12.评审争议处理规则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技术部分87.00分</w:t>
            </w:r>
          </w:p>
          <w:p>
            <w:pPr>
              <w:pStyle w:val="null5"/>
            </w:pPr>
            <w:r>
              <w:rPr>
                <w:rFonts w:ascii="仿宋_GB2312" w:hAnsi="仿宋_GB2312" w:cs="仿宋_GB2312" w:eastAsia="仿宋_GB2312"/>
              </w:rPr>
              <w:t>商务部分3.00分</w:t>
            </w:r>
          </w:p>
          <w:p>
            <w:pPr>
              <w:pStyle w:val="null5"/>
            </w:pPr>
            <w:r>
              <w:rPr>
                <w:rFonts w:ascii="仿宋_GB2312" w:hAnsi="仿宋_GB2312" w:cs="仿宋_GB2312" w:eastAsia="仿宋_GB2312"/>
              </w:rPr>
              <w:t>报价得分10.00分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服务方案</w:t>
            </w:r>
          </w:p>
        </w:tc>
        <w:tc>
          <w:tcPr>
            <w:tcW w:type="dxa" w:w="2575"/>
          </w:tcPr>
          <w:p>
            <w:pPr>
              <w:pStyle w:val="null5"/>
            </w:pPr>
            <w:r>
              <w:rPr>
                <w:rFonts w:ascii="仿宋_GB2312" w:hAnsi="仿宋_GB2312" w:cs="仿宋_GB2312" w:eastAsia="仿宋_GB2312"/>
              </w:rPr>
              <w:t>根据供应商针对本项目提供的服务方案从（1）分类界定、（2）送检工作、（3）协助编制质量管理体系、（4）注册申报、（5）同品种比对报告撰写、（6）生产许可申报、（7）设计开发，七个方面进行综合评审，每方面最高得6分，本项满分42分。各方面内容详实完善、可行性高、针对性强、贴合并满足项目需要的得满分6分，每有一处不完整、不全面、不合理的瑕疵纰漏处的扣1分，扣完为止。未提供相关内容不得分。</w:t>
            </w:r>
          </w:p>
        </w:tc>
        <w:tc>
          <w:tcPr>
            <w:tcW w:type="dxa" w:w="831"/>
          </w:tcPr>
          <w:p>
            <w:pPr>
              <w:pStyle w:val="null5"/>
              <w:jc w:val="center"/>
            </w:pPr>
            <w:r>
              <w:rPr>
                <w:rFonts w:ascii="仿宋_GB2312" w:hAnsi="仿宋_GB2312" w:cs="仿宋_GB2312" w:eastAsia="仿宋_GB2312"/>
              </w:rPr>
              <w:t>42.0000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技术评审方案内容</w:t>
            </w:r>
          </w:p>
        </w:tc>
      </w:tr>
      <w:tr>
        <w:tc>
          <w:tcPr>
            <w:tcW w:type="dxa" w:w="831"/>
            <w:vMerge/>
          </w:tcPr>
          <w:p/>
        </w:tc>
        <w:tc>
          <w:tcPr>
            <w:tcW w:type="dxa" w:w="1661"/>
          </w:tcPr>
          <w:p>
            <w:pPr>
              <w:pStyle w:val="null5"/>
            </w:pPr>
            <w:r>
              <w:rPr>
                <w:rFonts w:ascii="仿宋_GB2312" w:hAnsi="仿宋_GB2312" w:cs="仿宋_GB2312" w:eastAsia="仿宋_GB2312"/>
              </w:rPr>
              <w:t>进度计划及保障措施</w:t>
            </w:r>
          </w:p>
        </w:tc>
        <w:tc>
          <w:tcPr>
            <w:tcW w:type="dxa" w:w="2575"/>
          </w:tcPr>
          <w:p>
            <w:pPr>
              <w:pStyle w:val="null5"/>
            </w:pPr>
            <w:r>
              <w:rPr>
                <w:rFonts w:ascii="仿宋_GB2312" w:hAnsi="仿宋_GB2312" w:cs="仿宋_GB2312" w:eastAsia="仿宋_GB2312"/>
              </w:rPr>
              <w:t>根据供应商针对本项目提供的进度计划及保障措施进行综合评审，各方面内容详实完善、可行性高、针对性强、贴合并满足项目需要的得满分9分，每有一处不完整、不全面、不合理的瑕疵纰漏处的扣1分，扣完为止。未提供相关内容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技术评审方案内容</w:t>
            </w:r>
          </w:p>
        </w:tc>
      </w:tr>
      <w:tr>
        <w:tc>
          <w:tcPr>
            <w:tcW w:type="dxa" w:w="831"/>
            <w:vMerge/>
          </w:tcPr>
          <w:p/>
        </w:tc>
        <w:tc>
          <w:tcPr>
            <w:tcW w:type="dxa" w:w="1661"/>
          </w:tcPr>
          <w:p>
            <w:pPr>
              <w:pStyle w:val="null5"/>
            </w:pPr>
            <w:r>
              <w:rPr>
                <w:rFonts w:ascii="仿宋_GB2312" w:hAnsi="仿宋_GB2312" w:cs="仿宋_GB2312" w:eastAsia="仿宋_GB2312"/>
              </w:rPr>
              <w:t>质量保障措施</w:t>
            </w:r>
          </w:p>
        </w:tc>
        <w:tc>
          <w:tcPr>
            <w:tcW w:type="dxa" w:w="2575"/>
          </w:tcPr>
          <w:p>
            <w:pPr>
              <w:pStyle w:val="null5"/>
            </w:pPr>
            <w:r>
              <w:rPr>
                <w:rFonts w:ascii="仿宋_GB2312" w:hAnsi="仿宋_GB2312" w:cs="仿宋_GB2312" w:eastAsia="仿宋_GB2312"/>
              </w:rPr>
              <w:t>根据供应商针对本项目提供的质量保障措施进行综合评审，各方面内容详实完善、可行性高、针对性强、贴合并满足项目需要的得满分9分，每有一处不完整、不全面、不合理的瑕疵纰漏处的扣1分，扣完为止。未提供相关内容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技术评审方案内容</w:t>
            </w:r>
          </w:p>
        </w:tc>
      </w:tr>
      <w:tr>
        <w:tc>
          <w:tcPr>
            <w:tcW w:type="dxa" w:w="831"/>
            <w:vMerge/>
          </w:tcPr>
          <w:p/>
        </w:tc>
        <w:tc>
          <w:tcPr>
            <w:tcW w:type="dxa" w:w="1661"/>
          </w:tcPr>
          <w:p>
            <w:pPr>
              <w:pStyle w:val="null5"/>
            </w:pPr>
            <w:r>
              <w:rPr>
                <w:rFonts w:ascii="仿宋_GB2312" w:hAnsi="仿宋_GB2312" w:cs="仿宋_GB2312" w:eastAsia="仿宋_GB2312"/>
              </w:rPr>
              <w:t>应急管理措施</w:t>
            </w:r>
          </w:p>
        </w:tc>
        <w:tc>
          <w:tcPr>
            <w:tcW w:type="dxa" w:w="2575"/>
          </w:tcPr>
          <w:p>
            <w:pPr>
              <w:pStyle w:val="null5"/>
            </w:pPr>
            <w:r>
              <w:rPr>
                <w:rFonts w:ascii="仿宋_GB2312" w:hAnsi="仿宋_GB2312" w:cs="仿宋_GB2312" w:eastAsia="仿宋_GB2312"/>
              </w:rPr>
              <w:t>根据供应商针对本项目提供的应急管理措施进行综合评审，各方面内容详实完善、可行性高、针对性强、贴合并满足项目需要的得满分9分，每有一处不完整、不全面、不合理的瑕疵纰漏处的扣1分，扣完为止。未提供相关内容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技术评审方案内容</w:t>
            </w:r>
          </w:p>
        </w:tc>
      </w:tr>
      <w:tr>
        <w:tc>
          <w:tcPr>
            <w:tcW w:type="dxa" w:w="831"/>
            <w:vMerge/>
          </w:tcPr>
          <w:p/>
        </w:tc>
        <w:tc>
          <w:tcPr>
            <w:tcW w:type="dxa" w:w="1661"/>
          </w:tcPr>
          <w:p>
            <w:pPr>
              <w:pStyle w:val="null5"/>
            </w:pPr>
            <w:r>
              <w:rPr>
                <w:rFonts w:ascii="仿宋_GB2312" w:hAnsi="仿宋_GB2312" w:cs="仿宋_GB2312" w:eastAsia="仿宋_GB2312"/>
              </w:rPr>
              <w:t>拟投入的服务团队具体情况</w:t>
            </w:r>
          </w:p>
        </w:tc>
        <w:tc>
          <w:tcPr>
            <w:tcW w:type="dxa" w:w="2575"/>
          </w:tcPr>
          <w:p>
            <w:pPr>
              <w:pStyle w:val="null5"/>
            </w:pPr>
            <w:r>
              <w:rPr>
                <w:rFonts w:ascii="仿宋_GB2312" w:hAnsi="仿宋_GB2312" w:cs="仿宋_GB2312" w:eastAsia="仿宋_GB2312"/>
              </w:rPr>
              <w:t>根据供应商拟投入的服务人员具体情况从（1）团队整体组织架构、（2）拟投入人员的专业及技术服务能力、（3）人员项目经验三个方面进行综合评审，每方面最高得6分，本项满分18分。团队整体组织架构科学完善、拟投入人员的技术及服务能力优异、人员项目经验丰富的得满分6分，每有一处不合理、不完善的瑕疵纰漏之处的扣1分，扣完为止。须提供人员名单、社保材料、相关学历证书、资质证书等证明材料，未按要求提供的不得分。</w:t>
            </w:r>
          </w:p>
        </w:tc>
        <w:tc>
          <w:tcPr>
            <w:tcW w:type="dxa" w:w="831"/>
          </w:tcPr>
          <w:p>
            <w:pPr>
              <w:pStyle w:val="null5"/>
              <w:jc w:val="center"/>
            </w:pPr>
            <w:r>
              <w:rPr>
                <w:rFonts w:ascii="仿宋_GB2312" w:hAnsi="仿宋_GB2312" w:cs="仿宋_GB2312" w:eastAsia="仿宋_GB2312"/>
              </w:rPr>
              <w:t>18.0000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技术评审方案内容</w:t>
            </w:r>
          </w:p>
          <w:p>
            <w:pPr>
              <w:pStyle w:val="null5"/>
            </w:pPr>
            <w:r>
              <w:rPr>
                <w:rFonts w:ascii="仿宋_GB2312" w:hAnsi="仿宋_GB2312" w:cs="仿宋_GB2312" w:eastAsia="仿宋_GB2312"/>
              </w:rPr>
              <w:t>项目负责人简历表</w:t>
            </w:r>
          </w:p>
          <w:p>
            <w:pPr>
              <w:pStyle w:val="null5"/>
            </w:pPr>
            <w:r>
              <w:rPr>
                <w:rFonts w:ascii="仿宋_GB2312" w:hAnsi="仿宋_GB2312" w:cs="仿宋_GB2312" w:eastAsia="仿宋_GB2312"/>
              </w:rPr>
              <w:t>拟投入项目人员一览表</w:t>
            </w:r>
          </w:p>
        </w:tc>
      </w:tr>
      <w:tr>
        <w:tc>
          <w:tcPr>
            <w:tcW w:type="dxa" w:w="831"/>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根据供应商自2021年4月1日以来完成的类似项目合同或合作协议，每提供一份得1分，最高得3分（以签订时间为准，响应文件中应附合同或合作协议扫描件，未按要求提供不得分。）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业绩一览表</w:t>
            </w:r>
          </w:p>
          <w:p>
            <w:pPr>
              <w:pStyle w:val="null5"/>
            </w:pPr>
            <w:r>
              <w:rPr>
                <w:rFonts w:ascii="仿宋_GB2312" w:hAnsi="仿宋_GB2312" w:cs="仿宋_GB2312" w:eastAsia="仿宋_GB2312"/>
              </w:rPr>
              <w:t>其他材料</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循环肿瘤细胞精准检测系统的研发与应用响应报价低于全部通过符合性审查供应商响应报价平均值50%的，即循环肿瘤细胞精准检测系统的研发与应用响应报价&lt;全部通过符合性审查供应商响应报价平均值×50%。 （2）循环肿瘤细胞精准检测系统的研发与应用响应报价低于通过符合性审查且报价次低供应商响应报价50%的，即循环肿瘤细胞精准检测系统的研发与应用响应报价&lt;通过符合性审查且报价次低供应商响应报价×50%。 （3）循环肿瘤细胞精准检测系统的研发与应用响应报价低于最高限价45%的，即循环肿瘤细胞精准检测系统的研发与应用响应报价&lt;最高限价×45%。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价格分</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以满足磋商文件要求且最后投标报价最低的供应商的价格为磋商基准价，其价格分为满分10分，其他供应商的价格分统一按照下列公式计算：磋商报价得分=（磋商基准价/最后磋商报价）×10%×100</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循环肿瘤细胞精准检测系统的研发与应用响应报价低于全部通过符合性审查供应商响应报价平均值50%的，即循环肿瘤细胞精准检测系统的研发与应用响应报价&lt;全部通过符合性审查供应商响应报价平均值×50%。</w:t>
              <w:br/>
              <w:t>（2）循环肿瘤细胞精准检测系统的研发与应用响应报价低于通过符合性审查且报价次低供应商响应报价50%的，即循环肿瘤细胞精准检测系统的研发与应用响应报价&lt;通过符合性审查且报价次低供应商响应报价×50%。</w:t>
              <w:br/>
              <w:t>（3）循环肿瘤细胞精准检测系统的研发与应用响应报价低于最高限价45%的，即循环肿瘤细胞精准检测系统的研发与应用响应报价&lt;最高限价×45%。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详见附件：具有良好的商业信誉和健全的财务会计制度证明材料</w:t>
      </w:r>
    </w:p>
    <w:p>
      <w:pPr>
        <w:pStyle w:val="null5"/>
        <w:ind w:firstLine="960"/>
        <w:jc w:val="left"/>
      </w:pPr>
      <w:r>
        <w:rPr>
          <w:rFonts w:ascii="仿宋_GB2312" w:hAnsi="仿宋_GB2312" w:cs="仿宋_GB2312" w:eastAsia="仿宋_GB2312"/>
        </w:rPr>
        <w:t>详见附件：依法缴纳税收和社会保障资金的相关证明材料</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详见附件：中小企业声明函（服务）</w:t>
      </w:r>
    </w:p>
    <w:p>
      <w:pPr>
        <w:pStyle w:val="null5"/>
        <w:ind w:firstLine="960"/>
        <w:jc w:val="left"/>
      </w:pPr>
      <w:r>
        <w:rPr>
          <w:rFonts w:ascii="仿宋_GB2312" w:hAnsi="仿宋_GB2312" w:cs="仿宋_GB2312" w:eastAsia="仿宋_GB2312"/>
        </w:rPr>
        <w:t>详见附件：响应书</w:t>
      </w:r>
    </w:p>
    <w:p>
      <w:pPr>
        <w:pStyle w:val="null5"/>
        <w:ind w:firstLine="960"/>
        <w:jc w:val="left"/>
      </w:pPr>
      <w:r>
        <w:rPr>
          <w:rFonts w:ascii="仿宋_GB2312" w:hAnsi="仿宋_GB2312" w:cs="仿宋_GB2312" w:eastAsia="仿宋_GB2312"/>
        </w:rPr>
        <w:t>详见附件：供应商承诺函</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详见附件：技术评审方案内容</w:t>
      </w:r>
    </w:p>
    <w:p>
      <w:pPr>
        <w:pStyle w:val="null5"/>
        <w:ind w:firstLine="960"/>
        <w:jc w:val="left"/>
      </w:pPr>
      <w:r>
        <w:rPr>
          <w:rFonts w:ascii="仿宋_GB2312" w:hAnsi="仿宋_GB2312" w:cs="仿宋_GB2312" w:eastAsia="仿宋_GB2312"/>
        </w:rPr>
        <w:t>详见附件：项目负责人简历表</w:t>
      </w:r>
    </w:p>
    <w:p>
      <w:pPr>
        <w:pStyle w:val="null5"/>
        <w:ind w:firstLine="960"/>
        <w:jc w:val="left"/>
      </w:pPr>
      <w:r>
        <w:rPr>
          <w:rFonts w:ascii="仿宋_GB2312" w:hAnsi="仿宋_GB2312" w:cs="仿宋_GB2312" w:eastAsia="仿宋_GB2312"/>
        </w:rPr>
        <w:t>详见附件：拟投入项目人员一览表</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详见附件：业绩一览表</w:t>
      </w:r>
    </w:p>
    <w:p>
      <w:pPr>
        <w:pStyle w:val="null5"/>
        <w:ind w:firstLine="960"/>
        <w:jc w:val="left"/>
      </w:pPr>
      <w:r>
        <w:rPr>
          <w:rFonts w:ascii="仿宋_GB2312" w:hAnsi="仿宋_GB2312" w:cs="仿宋_GB2312" w:eastAsia="仿宋_GB2312"/>
        </w:rPr>
        <w:t>详见附件：关于本国产品成本占比的承诺函（若有）</w:t>
      </w:r>
    </w:p>
    <w:p>
      <w:pPr>
        <w:pStyle w:val="null5"/>
        <w:ind w:firstLine="960"/>
        <w:jc w:val="left"/>
      </w:pPr>
      <w:r>
        <w:rPr>
          <w:rFonts w:ascii="仿宋_GB2312" w:hAnsi="仿宋_GB2312" w:cs="仿宋_GB2312" w:eastAsia="仿宋_GB2312"/>
        </w:rPr>
        <w:t>详见附件：关于符合本国产品标准的声明函（若有）</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