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377"/>
      </w:tblGrid>
      <w:tr w14:paraId="308A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AAEAF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方案设计</w:t>
            </w:r>
          </w:p>
          <w:p w14:paraId="113F78BA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分）</w:t>
            </w:r>
          </w:p>
        </w:tc>
        <w:tc>
          <w:tcPr>
            <w:tcW w:w="35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6C8D236">
            <w:pPr>
              <w:spacing w:line="360" w:lineRule="auto"/>
              <w:ind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</w:rPr>
              <w:t>根据供应商提供的方案设计进行综合评审，在对本项目详细理解的基础上，编制针对本项目的设计方案，包括①整体架构设计②数据的集成与接口设计③产品功能描述设计④信息标准设计⑤软件系统安全设计，以上五项满分得10分，每缺一项扣2分，每发现一处瑕疵扣 1 分，扣完为止。</w:t>
            </w:r>
          </w:p>
        </w:tc>
      </w:tr>
    </w:tbl>
    <w:p w14:paraId="156EFE0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31FE9"/>
    <w:rsid w:val="41BB2D1B"/>
    <w:rsid w:val="5A54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EastAsia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0</Lines>
  <Paragraphs>0</Paragraphs>
  <TotalTime>0</TotalTime>
  <ScaleCrop>false</ScaleCrop>
  <LinksUpToDate>false</LinksUpToDate>
  <CharactersWithSpaces>138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2026-06-16T09:09:06Z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