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16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7377"/>
      </w:tblGrid>
      <w:tr w14:paraId="024AF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68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2B5EF">
            <w:pPr>
              <w:spacing w:line="360" w:lineRule="auto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对接方案</w:t>
            </w:r>
          </w:p>
          <w:p w14:paraId="662264B0">
            <w:pPr>
              <w:spacing w:line="360" w:lineRule="auto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分）</w:t>
            </w:r>
          </w:p>
        </w:tc>
        <w:tc>
          <w:tcPr>
            <w:tcW w:w="353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8478F">
            <w:pPr>
              <w:spacing w:line="360" w:lineRule="auto"/>
              <w:ind w:firstLine="0" w:firstLineChars="0"/>
              <w:jc w:val="both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_GB2312" w:hAnsi="仿宋_GB2312" w:eastAsia="仿宋_GB2312" w:cs="仿宋_GB2312"/>
              </w:rPr>
              <w:t>对接门户系统、资产系统与财务系统，对方案完整、逻辑清晰、包含接口费用承诺三项进行综合评审，满分12分，每缺一项对接方案扣4分，每发现一处瑕疵、不合理、不完善扣1分，扣完为止。</w:t>
            </w:r>
          </w:p>
        </w:tc>
      </w:tr>
    </w:tbl>
    <w:p w14:paraId="3F1E599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74BBC"/>
    <w:rsid w:val="29031FE9"/>
    <w:rsid w:val="3E612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EastAsia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92</Characters>
  <Lines>0</Lines>
  <Paragraphs>0</Paragraphs>
  <TotalTime>0</TotalTime>
  <ScaleCrop>false</ScaleCrop>
  <LinksUpToDate>false</LinksUpToDate>
  <CharactersWithSpaces>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2026-06-16T09:10:22Z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