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山东第一医科大学（山东省医学科学院）科教融合生物医学柔性电子实验室设备购置竞争性磋商文件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SDGP370000000202302008801</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/sdhryw2023300</w:t>
      </w:r>
    </w:p>
    <w:p>
      <w:pPr>
        <w:pStyle w:val="3"/>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十</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山东第一医科大学（山东省医学科学院）科教融合生物医学柔性电子实验室设备购置</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山东第一医科大学（山东省医学科学院）科教融合生物医学柔性电子实验室设备购置</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SDGP370000000202302008801/sdhryw2023300</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山东第一医科大学（山东省医学科学院）科教融合生物医学柔性电子实验室设备购置</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58.5</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A包：电子实验室设备等货物</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0"/>
        <w:spacing w:line="360" w:lineRule="auto"/>
        <w:ind w:firstLine="482"/>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10</w:t>
      </w:r>
      <w:r>
        <w:rPr>
          <w:rFonts w:ascii="Times New Roman" w:hAnsi="Times New Roman"/>
        </w:rPr>
        <w:t>月</w:t>
      </w:r>
      <w:r>
        <w:rPr>
          <w:rFonts w:hint="eastAsia" w:ascii="Times New Roman" w:hAnsi="Times New Roman"/>
          <w:lang w:val="en-US" w:eastAsia="zh-CN"/>
        </w:rPr>
        <w:t>24</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10</w:t>
      </w:r>
      <w:r>
        <w:rPr>
          <w:rFonts w:ascii="Times New Roman" w:hAnsi="Times New Roman"/>
        </w:rPr>
        <w:t>月</w:t>
      </w:r>
      <w:r>
        <w:rPr>
          <w:rFonts w:hint="eastAsia" w:ascii="Times New Roman" w:hAnsi="Times New Roman"/>
          <w:lang w:val="en-US" w:eastAsia="zh-CN"/>
        </w:rPr>
        <w:t>30</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300</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w:t>
      </w:r>
      <w:r>
        <w:rPr>
          <w:rFonts w:hint="eastAsia" w:ascii="仿宋" w:hAnsi="仿宋" w:cs="仿宋"/>
          <w:color w:val="auto"/>
          <w:sz w:val="24"/>
          <w:highlight w:val="none"/>
          <w:lang w:eastAsia="zh-CN"/>
        </w:rPr>
        <w:t>供应商</w:t>
      </w:r>
      <w:r>
        <w:rPr>
          <w:rFonts w:hint="eastAsia" w:ascii="仿宋" w:hAnsi="仿宋" w:eastAsia="仿宋" w:cs="仿宋"/>
          <w:color w:val="auto"/>
          <w:sz w:val="24"/>
          <w:highlight w:val="none"/>
        </w:rPr>
        <w:t>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3</w:t>
      </w:r>
      <w:r>
        <w:rPr>
          <w:rFonts w:ascii="Times New Roman" w:hAnsi="Times New Roman"/>
        </w:rPr>
        <w:t>日0</w:t>
      </w:r>
      <w:r>
        <w:rPr>
          <w:rFonts w:hint="eastAsia" w:ascii="Times New Roman" w:hAnsi="Times New Roman"/>
          <w:lang w:val="en-US" w:eastAsia="zh-CN"/>
        </w:rPr>
        <w:t>9</w:t>
      </w:r>
      <w:r>
        <w:rPr>
          <w:rFonts w:hint="eastAsia" w:ascii="Times New Roman" w:hAnsi="Times New Roman"/>
        </w:rPr>
        <w:t>:</w:t>
      </w:r>
      <w:r>
        <w:rPr>
          <w:rFonts w:hint="eastAsia" w:ascii="Times New Roman" w:hAnsi="Times New Roman"/>
          <w:lang w:val="en-US" w:eastAsia="zh-CN"/>
        </w:rPr>
        <w:t>0</w:t>
      </w:r>
      <w:r>
        <w:rPr>
          <w:rFonts w:ascii="Times New Roman" w:hAnsi="Times New Roman"/>
        </w:rPr>
        <w:t>0-</w:t>
      </w:r>
      <w:r>
        <w:rPr>
          <w:rFonts w:hint="eastAsia" w:ascii="Times New Roman" w:hAnsi="Times New Roman"/>
          <w:lang w:val="en-US" w:eastAsia="zh-CN"/>
        </w:rPr>
        <w:t>0</w:t>
      </w:r>
      <w:r>
        <w:rPr>
          <w:rFonts w:ascii="Times New Roman" w:hAnsi="Times New Roman"/>
        </w:rPr>
        <w:t>9:</w:t>
      </w:r>
      <w:r>
        <w:rPr>
          <w:rFonts w:hint="eastAsia" w:ascii="Times New Roman" w:hAnsi="Times New Roman"/>
          <w:lang w:val="en-US" w:eastAsia="zh-CN"/>
        </w:rPr>
        <w:t>3</w:t>
      </w:r>
      <w:r>
        <w:rPr>
          <w:rFonts w:ascii="Times New Roman" w:hAnsi="Times New Roman"/>
        </w:rPr>
        <w:t>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3</w:t>
      </w:r>
      <w:r>
        <w:rPr>
          <w:rFonts w:ascii="Times New Roman" w:hAnsi="Times New Roman"/>
        </w:rPr>
        <w:t>日09:</w:t>
      </w:r>
      <w:r>
        <w:rPr>
          <w:rFonts w:hint="eastAsia" w:ascii="Times New Roman" w:hAnsi="Times New Roman"/>
          <w:lang w:val="en-US" w:eastAsia="zh-CN"/>
        </w:rPr>
        <w:t>3</w:t>
      </w:r>
      <w:r>
        <w:rPr>
          <w:rFonts w:ascii="Times New Roman" w:hAnsi="Times New Roman"/>
        </w:rPr>
        <w:t>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eastAsia="zh-CN"/>
        </w:rPr>
        <w:t>济南市历下区经十路13777号中润世纪广场18号楼</w:t>
      </w:r>
      <w:r>
        <w:rPr>
          <w:rFonts w:hint="eastAsia" w:ascii="Times New Roman" w:hAnsi="Times New Roman"/>
          <w:lang w:val="en-US" w:eastAsia="zh-CN"/>
        </w:rPr>
        <w:t>301</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w:t>
      </w:r>
      <w:r>
        <w:rPr>
          <w:rFonts w:hint="eastAsia" w:ascii="Times New Roman" w:hAnsi="Times New Roman"/>
          <w:lang w:val="en-US" w:eastAsia="zh-CN"/>
        </w:rPr>
        <w:t xml:space="preserve"> </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default" w:ascii="Times New Roman" w:hAnsi="Times New Roman" w:eastAsia="仿宋"/>
          <w:lang w:val="en-US"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0531-88589237</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63"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r>
              <w:rPr>
                <w:rFonts w:hint="eastAsia" w:ascii="Times New Roman" w:hAnsi="Times New Roman"/>
                <w:lang w:val="en-US" w:eastAsia="zh-CN"/>
              </w:rPr>
              <w:t xml:space="preserve"> 37000000014006520230344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自行填写（需填写具体日期如签订合同后XX日）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hint="eastAsia"/>
              </w:rPr>
            </w:pPr>
            <w:r>
              <w:rPr>
                <w:rFonts w:hint="eastAsia"/>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8"/>
              <w:ind w:left="0" w:leftChars="0" w:firstLine="0" w:firstLineChars="0"/>
            </w:pPr>
            <w:r>
              <w:rPr>
                <w:rFonts w:hint="eastAsia"/>
              </w:rPr>
              <w:t>履约保证金在验收合格后满一年后，没有任何质量问题，由中标人向采购人提交申请，采购人根据履约情况无息退还给中标人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 xml:space="preserve"> </w:t>
            </w:r>
            <w:r>
              <w:rPr>
                <w:rFonts w:ascii="Times New Roman" w:hAnsi="Times New Roman"/>
                <w:szCs w:val="24"/>
              </w:rPr>
              <w:t>月</w:t>
            </w:r>
            <w:r>
              <w:rPr>
                <w:rFonts w:hint="eastAsia" w:ascii="Times New Roman" w:hAnsi="Times New Roman"/>
                <w:szCs w:val="24"/>
                <w:lang w:val="en-US" w:eastAsia="zh-CN"/>
              </w:rPr>
              <w:t xml:space="preserve"> </w:t>
            </w:r>
            <w:r>
              <w:rPr>
                <w:rFonts w:ascii="Times New Roman" w:hAnsi="Times New Roman"/>
                <w:szCs w:val="24"/>
              </w:rPr>
              <w:t>日08:30-09:00（北京时间）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 xml:space="preserve"> </w:t>
            </w:r>
            <w:r>
              <w:rPr>
                <w:rFonts w:ascii="Times New Roman" w:hAnsi="Times New Roman"/>
                <w:szCs w:val="24"/>
              </w:rPr>
              <w:t>月</w:t>
            </w:r>
            <w:r>
              <w:rPr>
                <w:rFonts w:hint="eastAsia" w:ascii="Times New Roman" w:hAnsi="Times New Roman"/>
                <w:szCs w:val="24"/>
                <w:lang w:val="en-US" w:eastAsia="zh-CN"/>
              </w:rPr>
              <w:t xml:space="preserve"> </w:t>
            </w:r>
            <w:r>
              <w:rPr>
                <w:rFonts w:ascii="Times New Roman" w:hAnsi="Times New Roman"/>
                <w:szCs w:val="24"/>
              </w:rPr>
              <w:t>日09:00（北京时间）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w:t>
            </w:r>
            <w:r>
              <w:rPr>
                <w:rFonts w:hint="eastAsia" w:ascii="Times New Roman" w:hAnsi="Times New Roman"/>
                <w:szCs w:val="24"/>
                <w:lang w:val="en-US" w:eastAsia="zh-CN"/>
              </w:rPr>
              <w:t>(</w:t>
            </w:r>
            <w:r>
              <w:rPr>
                <w:rFonts w:hint="eastAsia" w:ascii="Times New Roman" w:hAnsi="Times New Roman"/>
                <w:szCs w:val="24"/>
              </w:rPr>
              <w:t>不足500元，按500元收取</w:t>
            </w:r>
            <w:r>
              <w:rPr>
                <w:rFonts w:hint="eastAsia" w:ascii="Times New Roman" w:hAnsi="Times New Roman"/>
                <w:szCs w:val="24"/>
                <w:lang w:val="en-US" w:eastAsia="zh-CN"/>
              </w:rPr>
              <w:t>,上限1000元/每包）</w:t>
            </w:r>
            <w:r>
              <w:rPr>
                <w:rFonts w:hint="eastAsia" w:ascii="Times New Roman" w:hAnsi="Times New Roman"/>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3"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bookmarkStart w:id="7" w:name="_GoBack"/>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w:t>
            </w:r>
            <w:r>
              <w:rPr>
                <w:rFonts w:hint="eastAsia" w:ascii="仿宋" w:hAnsi="仿宋" w:cs="仿宋"/>
                <w:bCs/>
                <w:szCs w:val="24"/>
                <w:lang w:eastAsia="zh-CN"/>
              </w:rPr>
              <w:t>磋商文件</w:t>
            </w:r>
            <w:r>
              <w:rPr>
                <w:rFonts w:hint="eastAsia" w:ascii="仿宋" w:hAnsi="仿宋" w:eastAsia="仿宋" w:cs="仿宋"/>
                <w:bCs/>
                <w:szCs w:val="24"/>
              </w:rPr>
              <w:t>要求且</w:t>
            </w:r>
            <w:r>
              <w:rPr>
                <w:rFonts w:hint="eastAsia" w:ascii="仿宋" w:hAnsi="仿宋" w:cs="仿宋"/>
                <w:bCs/>
                <w:szCs w:val="24"/>
                <w:lang w:eastAsia="zh-CN"/>
              </w:rPr>
              <w:t>最终报价</w:t>
            </w:r>
            <w:r>
              <w:rPr>
                <w:rFonts w:hint="eastAsia" w:ascii="仿宋" w:hAnsi="仿宋" w:eastAsia="仿宋" w:cs="仿宋"/>
                <w:bCs/>
                <w:szCs w:val="24"/>
              </w:rPr>
              <w:t>最低的</w:t>
            </w:r>
            <w:r>
              <w:rPr>
                <w:rFonts w:hint="eastAsia" w:ascii="仿宋" w:hAnsi="仿宋" w:cs="仿宋"/>
                <w:bCs/>
                <w:szCs w:val="24"/>
                <w:lang w:eastAsia="zh-CN"/>
              </w:rPr>
              <w:t>供应商</w:t>
            </w:r>
            <w:r>
              <w:rPr>
                <w:rFonts w:hint="eastAsia" w:ascii="仿宋" w:hAnsi="仿宋" w:eastAsia="仿宋" w:cs="仿宋"/>
                <w:bCs/>
                <w:szCs w:val="24"/>
              </w:rPr>
              <w:t>为评标基准价，其价格分为满分30分，其他</w:t>
            </w:r>
            <w:r>
              <w:rPr>
                <w:rFonts w:hint="eastAsia" w:ascii="仿宋" w:hAnsi="仿宋" w:cs="仿宋"/>
                <w:bCs/>
                <w:szCs w:val="24"/>
                <w:lang w:eastAsia="zh-CN"/>
              </w:rPr>
              <w:t>供应商</w:t>
            </w:r>
            <w:r>
              <w:rPr>
                <w:rFonts w:hint="eastAsia" w:ascii="仿宋" w:hAnsi="仿宋" w:eastAsia="仿宋" w:cs="仿宋"/>
                <w:bCs/>
                <w:szCs w:val="24"/>
              </w:rPr>
              <w:t>的价格分按照下列公式计算：投标报价得分=（评标基准价/</w:t>
            </w:r>
            <w:r>
              <w:rPr>
                <w:rFonts w:hint="eastAsia" w:ascii="仿宋" w:hAnsi="仿宋" w:cs="仿宋"/>
                <w:bCs/>
                <w:szCs w:val="24"/>
                <w:lang w:eastAsia="zh-CN"/>
              </w:rPr>
              <w:t>最终</w:t>
            </w:r>
            <w:r>
              <w:rPr>
                <w:rFonts w:hint="eastAsia" w:ascii="仿宋" w:hAnsi="仿宋" w:eastAsia="仿宋" w:cs="仿宋"/>
                <w:bCs/>
                <w:szCs w:val="24"/>
              </w:rPr>
              <w:t>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59</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43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w:t>
            </w:r>
            <w:r>
              <w:rPr>
                <w:rFonts w:hint="eastAsia" w:ascii="仿宋" w:hAnsi="仿宋" w:cs="仿宋"/>
                <w:lang w:eastAsia="zh-CN"/>
              </w:rPr>
              <w:t>磋商文件</w:t>
            </w:r>
            <w:r>
              <w:rPr>
                <w:rFonts w:hint="eastAsia" w:ascii="仿宋" w:hAnsi="仿宋" w:eastAsia="仿宋" w:cs="仿宋"/>
              </w:rPr>
              <w:t>的技术要求，对照</w:t>
            </w:r>
            <w:r>
              <w:rPr>
                <w:rFonts w:hint="eastAsia" w:ascii="仿宋" w:hAnsi="仿宋" w:cs="仿宋"/>
                <w:lang w:eastAsia="zh-CN"/>
              </w:rPr>
              <w:t>响应文件</w:t>
            </w:r>
            <w:r>
              <w:rPr>
                <w:rFonts w:hint="eastAsia" w:ascii="仿宋" w:hAnsi="仿宋" w:eastAsia="仿宋" w:cs="仿宋"/>
              </w:rPr>
              <w:t>和技术支持资料的技术参数进行比较，能够实质性响应</w:t>
            </w:r>
            <w:r>
              <w:rPr>
                <w:rFonts w:hint="eastAsia" w:ascii="仿宋" w:hAnsi="仿宋" w:cs="仿宋"/>
                <w:lang w:eastAsia="zh-CN"/>
              </w:rPr>
              <w:t>磋商文件</w:t>
            </w:r>
            <w:r>
              <w:rPr>
                <w:rFonts w:hint="eastAsia" w:ascii="仿宋" w:hAnsi="仿宋" w:eastAsia="仿宋" w:cs="仿宋"/>
              </w:rPr>
              <w:t>要求的得基本分</w:t>
            </w:r>
            <w:r>
              <w:rPr>
                <w:rFonts w:hint="eastAsia" w:ascii="仿宋" w:hAnsi="仿宋" w:eastAsia="仿宋" w:cs="仿宋"/>
                <w:lang w:val="en-US" w:eastAsia="zh-CN"/>
              </w:rPr>
              <w:t>43</w:t>
            </w:r>
            <w:r>
              <w:rPr>
                <w:rFonts w:hint="eastAsia" w:ascii="仿宋" w:hAnsi="仿宋" w:eastAsia="仿宋" w:cs="仿宋"/>
              </w:rPr>
              <w:t>分，普通条款一项偏离扣2分，经</w:t>
            </w:r>
            <w:r>
              <w:rPr>
                <w:rFonts w:hint="eastAsia" w:ascii="仿宋" w:hAnsi="仿宋" w:cs="仿宋"/>
                <w:lang w:eastAsia="zh-CN"/>
              </w:rPr>
              <w:t>磋商小组</w:t>
            </w:r>
            <w:r>
              <w:rPr>
                <w:rFonts w:hint="eastAsia" w:ascii="仿宋" w:hAnsi="仿宋" w:eastAsia="仿宋" w:cs="仿宋"/>
              </w:rPr>
              <w:t>集体认定供应商复制粘贴</w:t>
            </w:r>
            <w:r>
              <w:rPr>
                <w:rFonts w:hint="eastAsia" w:ascii="仿宋" w:hAnsi="仿宋" w:cs="仿宋"/>
                <w:lang w:eastAsia="zh-CN"/>
              </w:rPr>
              <w:t>磋商文件</w:t>
            </w:r>
            <w:r>
              <w:rPr>
                <w:rFonts w:hint="eastAsia" w:ascii="仿宋" w:hAnsi="仿宋" w:eastAsia="仿宋" w:cs="仿宋"/>
              </w:rPr>
              <w:t>制作技术响应表该项得0分。</w:t>
            </w:r>
            <w:r>
              <w:rPr>
                <w:rFonts w:hint="eastAsia" w:ascii="仿宋" w:hAnsi="仿宋" w:cs="仿宋"/>
                <w:b/>
                <w:bCs/>
                <w:color w:val="000000"/>
                <w:kern w:val="0"/>
                <w:szCs w:val="24"/>
                <w:lang w:eastAsia="zh-CN"/>
              </w:rPr>
              <w:t>供应商</w:t>
            </w:r>
            <w:r>
              <w:rPr>
                <w:rFonts w:hint="eastAsia" w:ascii="仿宋" w:hAnsi="仿宋" w:eastAsia="仿宋" w:cs="仿宋"/>
                <w:b/>
                <w:bCs/>
                <w:color w:val="000000"/>
                <w:kern w:val="0"/>
                <w:szCs w:val="24"/>
              </w:rPr>
              <w:t>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综合考虑投标产品整体配置、后期使用成本、产品维护及其它因素等综合评分。①投标产品整体配置、②明显优于采购要求③后期使用成本低、④产品易于维护，每项完全满足得2</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12"/>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76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11</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8</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w:t>
            </w:r>
            <w:r>
              <w:rPr>
                <w:rFonts w:hint="eastAsia" w:ascii="仿宋" w:hAnsi="仿宋" w:cs="仿宋"/>
                <w:bCs/>
                <w:color w:val="auto"/>
                <w:szCs w:val="24"/>
                <w:highlight w:val="none"/>
                <w:lang w:eastAsia="zh-CN"/>
              </w:rPr>
              <w:t>磋商</w:t>
            </w:r>
            <w:r>
              <w:rPr>
                <w:rFonts w:hint="eastAsia" w:ascii="仿宋" w:hAnsi="仿宋" w:eastAsia="仿宋" w:cs="仿宋"/>
                <w:bCs/>
                <w:color w:val="auto"/>
                <w:szCs w:val="24"/>
                <w:highlight w:val="none"/>
              </w:rPr>
              <w:t>要求和</w:t>
            </w:r>
            <w:r>
              <w:rPr>
                <w:rFonts w:hint="eastAsia" w:ascii="仿宋" w:hAnsi="仿宋" w:cs="仿宋"/>
                <w:bCs/>
                <w:color w:val="auto"/>
                <w:szCs w:val="24"/>
                <w:highlight w:val="none"/>
                <w:lang w:eastAsia="zh-CN"/>
              </w:rPr>
              <w:t>响应文件</w:t>
            </w:r>
            <w:r>
              <w:rPr>
                <w:rFonts w:hint="eastAsia" w:ascii="仿宋" w:hAnsi="仿宋" w:eastAsia="仿宋" w:cs="仿宋"/>
                <w:bCs/>
                <w:color w:val="auto"/>
                <w:szCs w:val="24"/>
                <w:highlight w:val="none"/>
              </w:rPr>
              <w:t>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8</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eastAsia="zh-CN"/>
              </w:rPr>
              <w:t>业绩</w:t>
            </w: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根据供应商所投产品近三年（2020年</w:t>
            </w:r>
            <w:r>
              <w:rPr>
                <w:rFonts w:hint="eastAsia" w:ascii="仿宋" w:hAnsi="仿宋" w:cs="仿宋"/>
                <w:bCs/>
                <w:szCs w:val="24"/>
                <w:lang w:val="en-US" w:eastAsia="zh-CN"/>
              </w:rPr>
              <w:t>10</w:t>
            </w:r>
            <w:r>
              <w:rPr>
                <w:rFonts w:hint="eastAsia" w:ascii="仿宋" w:hAnsi="仿宋" w:eastAsia="仿宋" w:cs="仿宋"/>
                <w:bCs/>
                <w:szCs w:val="24"/>
              </w:rPr>
              <w:t>月至投标截止日止，以合同签订时间为准）完成同类项目的业绩，每提供1项业绩得1分，最高得3分。注：1.供应商需提供</w:t>
            </w:r>
            <w:r>
              <w:rPr>
                <w:rFonts w:hint="eastAsia" w:ascii="仿宋" w:hAnsi="仿宋" w:cs="仿宋"/>
                <w:bCs/>
                <w:szCs w:val="24"/>
                <w:lang w:eastAsia="zh-CN"/>
              </w:rPr>
              <w:t>完整的</w:t>
            </w:r>
            <w:r>
              <w:rPr>
                <w:rFonts w:hint="eastAsia" w:ascii="仿宋" w:hAnsi="仿宋" w:eastAsia="仿宋" w:cs="仿宋"/>
                <w:bCs/>
                <w:szCs w:val="24"/>
              </w:rPr>
              <w:t>中标合同复印件，否则业绩不予认可。</w:t>
            </w:r>
          </w:p>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2.需为投标产品销售至最终使用单位的业绩合同。</w:t>
            </w:r>
          </w:p>
        </w:tc>
      </w:tr>
      <w:bookmarkEnd w:id="7"/>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1"/>
        <w:tblW w:w="95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825"/>
        <w:gridCol w:w="725"/>
        <w:gridCol w:w="800"/>
        <w:gridCol w:w="64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设备名称</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2"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源表与生物信息采集系统</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≥5吋电容触摸屏，图形用户界面。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0.012%基本测量准确度和6位半分辨率。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灵敏度≤20mV，</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≥4种测量操作模式。</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SCPI和TSP®脚本编程模式。</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具有USB接口用于数据/编程/配置I/O。</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源电压范围:20mV 至 200V。</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输出功率≥20W。</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源电流范围:10nA 至 1A。</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电阻测量范围:2ohm 至 200Mohm。</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配主机+≥23英寸高清显示器， 配置不低于：i5-12500， 内存16G ，1T+256G固态。</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采样通道接口：≥4个物理采样通道，1个12导联全导联心电接口；</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物理采样通道扩展功能 ：可同时采集≥8道信号，可无线采集人体体位、心电、呼吸、肺活量、脉搏、血氧、收缩压、舒张压等信号，无线传输≥10m。</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自动记录设备使用情况，包括首次使用日期，最近使用日期，累计使用时间和次数等，使用情况记录到硬件中；</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配置控制软件1套；</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配置直角架件1个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配置定子转接件1个；</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配置电控箱1个；</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全导联心电线1根；</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USB2.0数据线1根；</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信号输入线2；</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刺激输出线与记滴输入线2根；</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神经放电引导电极1个；</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(13)12V电源适配器1个</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(14)压力传感器1个</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(15)张力传感器1个。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电容采集系统</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测试频率: 20Hz-2MHz。</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信号电平: 20VAC /100mAAC。</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内置直流偏置:土40VDC/100mADC 内置电流源:士2A。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DCR电平: 20VDC/100mADC。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测试速度≥0.55ms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≥10吋，分辨率≥1280*800,电容式触摸屏，具有点测、列表扫描、图形扫描等测试方式。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 ≥4参数测量，≥200点多参数列表扫描功能，图形扫描功能，轨迹任意选择,支持1/2/4分屏.分选功能: LCR模式≥10档分选。标配镀金短路版，测试夹具，对开尔文测试电缆。支持SCP IMODBUS指令集,兼容KEYSIGHT E4980A、 E4980AL、 HP4284A。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1"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光学平台</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参考尺寸1500x900x800mm ：</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台面参考厚度100mm；</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上台面:4～6mm厚SUS430 高导磁不锈钢；</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下底面：4～6mm厚碳钢，表面喷黑塑处理；</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台面内部：钢制蜂窝状结构，采用焊接工艺；</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台面侧板：内层为碳钢板，外层为黑色铝塑板，四角用不锈钢板包角；</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隔振材料：国标阻尼隔震垫；</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平面度：0.02mm～0.05mm/600mm×600mm；</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固有频率：≤6～12Hz,同负载与实际使用情况有关；</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支架：具备脚轮；</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高度：整体高度为800mm,可调范围:-15～+15mm,</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孔距：25mm x 25mm；</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孔径：标准M6螺纹孔；</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(14)最边沿孔距边：37.5mm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6"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静电纺丝系统</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支持两种材料同时纺丝；纺丝距离8-30cm可调；</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输出电压范围-30-30KV,输出电流范围0-10mA。</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具有过压，过流，过载保护，</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纹波系数＜2‰，</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工作湿度30-90%；</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滚筒直径约100mm，</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最大速度≥4500rpm，</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滚筒长度约200mm；</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喷头运动系统极限速度≥100mm/s,</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行程≥200mm；</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支持多种针头纺丝；</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双通道微量注射模块具备推拉模式，可实现耐高压微流控制，</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流量范围0.831nL-150.5mL/min。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搭配红外热成像仪，可实时温度成像监测，</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红外分辨率160*120，</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镜头焦距≥6mm，</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最小测量距离≤20cm，</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支持≥4倍数字变焦，</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测温范围-20-400℃，</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配备64G SD卡，支持热成像录像进行温度监测。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压电测试与电化学测试系统</w:t>
            </w: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电化学工作站参数：</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仪器内含快速数字信号发生器，用于高频交流阻抗测量的直接数字信号合成器，双通道高速数据采集系统，电位电流信号滤波器，多级信号增益，iR降补偿电路，以及恒电位仪／恒电流仪。电位范围为±10V，电流范围为±200mA。电流测量下限低于10pA。</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可直接用于超微电极上的稳态电流测量。信号发生器的更新速率≥10MHz，双通道≥16位模数转换器，双通道同时采样的最高速率≥1MHz。</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软件功能：数字模拟器和拟合程序、任意反应机理CV模拟器、循环伏安法(CV)、线性扫描伏安法、阶梯波伏安法、Tafel图 、计时电流法、时电盘法(CC)、差分脉冲伏安法、常规脉冲伏安法、社差分常规脉冲伏安法、方波伏安法。</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控制系统配置：配主机+≥23英寸高清显示器， 配置不低于：i5-12500， 内存16G ，1T+256G固态。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四、压电测试参数：</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x1挡:10到2000PC/N，20 至6000PC/N，可以升级到10000PC/N；</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x0.1挡:1到200PC/N，2至400PC/N；</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误差:x1挡:2%1个数字，当D33在100到4000PC/N；x0.1挡:2%+1个字，(当D33在10到200PC/N)；</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计量标定标准样尺寸:18mm*0.8mm；</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提供压电薄膜标准片: 20*20mm；</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电压保护:独有的放电保护功能；</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分辨率: x1挡:1 PC/N;x0.1挡:0.1 PC/N；</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参考尺寸:施力装置110x140mm;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五、配置清单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1、配置D33和D31测试夹具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2、配置多路电阻仪，可实现≥16路电阻测量，测量范围1u欧姆-2兆欧姆。</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3、配置直流电源，三通道输出范围：（30V/3A||30V/3A||6V/3A）、编程分辨率：1mV/1mA/、隔离：全隔离。</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4、配置逻辑分析仪，USB传输速率：480Mbps、16通道、最小可采集脉宽：5ns、最高采集信号频率100MHz。</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5、配置示波器，示波器带宽：100M、通道数：4通道、采样率：1G Sa/s、波形刷新率：30000wfms/s、存储深度：24M（单通道）。</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6、配置频谱分析仪，频谱分析范围：9kHz-1.5GHz、分辨率带宽：1Hz-1MHz、幅度准确度：&lt;1.2dB、可通过labview远程控制</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7、配置信号发生器，信号发生器输出频率上限：35MHz、采样率：125Msa/s、通道数：双通道、垂直分辨率：16bits。8、配置电子负载测试仪，测量里程：0.3Ω-10kΩ、分辨率：16bit，精度0.01%。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c>
          <w:tcPr>
            <w:tcW w:w="6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3"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射频真空等离子清洗机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腔体材质为石英腔体，整机工作电流≤1.1A，</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电源功率0-300W可调，频率13.56MHz,</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特性阻抗50Ω，</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真空度1-30Pa，</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气体流量10-100ml/min，</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清洗时间1-60000s可调，</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功率10-100%可调，</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真空泵抽速≥4L/s，包含主机一台，真空泵一台，纹波管一根，油污过滤器。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4"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倒置金相显微镜</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无限远光学系统，微米级图像测量，支持4K图像拍摄录制、测量、图像对比回显功能，WF10X/20目镜观察系统，10000倍电子放大倍数。；配备15X/16mm大视场目镜和20X/12mm大视场目镜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真空烘箱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控温范围10-200℃，真空度≥133Pa，配备真空泵和过滤器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医用冷藏冰箱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立式，容积≥330L 医用冷藏冰箱，冷藏温度2-8℃，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6"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医用冷冻冰箱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立式，容积≥145L 医用冷冻冰箱，冷冻温度-10~-25℃。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超声波细胞粉碎机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 采用≥5.0吋彩色触摸屏幕，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 采用变幅杆全自动升降，可以设置变幅杆高度，具有记忆功能。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 隔音箱采用吸音棉，磁力橡胶等设计保证密封。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 采用微电脑技术，超声波功率精细可调，步进1%，各项时间参数精准可调，时间控制精度0.1。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 程序内设置≥9组常用参数设置。一键调用。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 程序内置蜂鸣器报警提示功能，程序运行结束和出现故障，均会停机报警。可以设定样品保护温度，样品温度实时检测，确保样品安全。急停按钮可以停止超声，变幅杆回到顶部位置。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 隔音箱内有UV灯管，可以杀菌，照明；箱体门门锁把手一体设计。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8.频率 20-25KHz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9.配置变幅杆 Ø6 ，Ø2，Ø10，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10.破碎容量 0.5~500ml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11.可调保护温度 样品温度至80℃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12.变幅杆升降最大距离≥ 120mm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13.外接温度传感器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14.超声时间设定 0.1s~9.9s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超声波清洗机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容量≥10L</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频率：40KHZ</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超声波功率≥240W</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加热功率≥500W </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时间可调：1-99min</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温度可调：RT-80℃</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超声波换能器：4枚</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内槽参考尺寸：300 x 240 x 150mm               </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标配不锈钢清洗篮、不锈钢消声盖、手控进排水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四联加热型磁力搅拌机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工作盘参考尺寸 Φ137mm</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工作盘盘面材料 搪瓷</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转速范围 200~1200rpm</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控温范围 室温+5℃~340℃</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温度设定范围 30℃~340℃</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温度稳定性 ±3℃</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搅拌点位数量≥ 4</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最大搅拌量(H2O)≥ 2L×4</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标配搅拌子尺寸 Φ8×46mm</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外接温度传感器≥4个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高速离心机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采用≥4吋彩色液晶屏，可同时显示转速、离心力、时间。</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具有运行完成蜂鸣音提示功能，具有运行状态显示和错误代码提示功能。</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内置≥10组程序，可一键调用。</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具有瞬时离心按键。</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高强度铝合金转子，可高温高压灭菌</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最大相对离心力(×g) ≥19300×g，</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转子容量 0.2ml/0.5ml/1.5ml/2mlx24; 0.5mlx36;  5ml×18;  0.2ml×32/PCR8排管×4可以选择</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定时范围 0s~99min59s / 连续运行</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升降速时间范围 25 ~ 45s(可程序设定)</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噪音(dB) ≤62dB</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安全性能 高强度金属防护圈、安全门锁、超速、过温、状态诊断</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其它功能 转速/加速度显示功能、瞬时离心功能、运行进程显示、声音提示功能</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配备5ml*18转子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鼓风干燥箱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 控温范围：RT+10℃-300℃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 恒温波动度：±1℃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 温度分辨率≤0.1℃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 输入功率≥1500W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 内胆尺寸W*D*H(mm) ≥450*400*450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 容积≥80L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 载物托架：2pcs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 定时范围：1~9999min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 具备液晶显示，多组数据一屏显示，菜单式操作界面。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 风机具有快慢速控制功能。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 具有风道循环系统，自动排放箱体内部的水蒸气。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 具有超温温差保护、温度数字显示、定时功能。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 内胆采用镜面不锈钢，搁板支架可以自由装卸，半圆形死角设计。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 箱体外壳采用优质冷轧钢板执照，表面静电喷塑。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手持均质仪</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用于1-250ml的液体样品，转数范围：8000-35000rpm （1K rpm 步进）,工作噪音≤72Db ,配备H型支架。配机械搅拌设备：最大搅拌量(H2O):40L。定时范围:30s ~ 999min。转速范围:50 ~ 2200rpm。转速控制精确度 :±3rpm。转速显示分辨: ±1 rpm。最大扭: 60 N.cm。最大粘度： 50000 mPas。钻夹头夹持直径范围： 0.5~10mm，配一字式搅拌桨。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1"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压电采集集成系统</w:t>
            </w:r>
          </w:p>
        </w:tc>
        <w:tc>
          <w:tcPr>
            <w:tcW w:w="72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8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技术参数：</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阻抗≥200TΩ；</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最大采集电压≥200V；</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最大采集电流≥20mA；</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最大采集电阻≥200GΩ；</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最大采集电荷≥20µC；</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ADC分辨率≥16位；</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最大采样率≥50KS/s；</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软件功能:</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可快速采集TENG电流、电压、电阻、电荷随时间变化曲线,V-T,I-T,R-T,Q-T曲线。</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可设置电学参数的量程范围、进行零点校正、可连续可调设置采集卡的采样速度,最大可达50k/s，</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60" w:lineRule="auto"/>
              <w:ind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可设置记录时间,在测试的过程中实时绘制数据曲线，数据自动保存、数据可用Excel、记事本、Origin打开并分析。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4" w:hRule="atLeast"/>
          <w:jc w:val="center"/>
        </w:trPr>
        <w:tc>
          <w:tcPr>
            <w:tcW w:w="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直线电机系统</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最佳行程≥300mm；</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峰值推力≥300N；</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持续推力≥30N；</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控制方式：电脑程序控制.</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力常数：20.4N/A；</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最大电流@72VDC≥8A；</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最大电流@48VDC≥6A；</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最大速度@72VDC≥270mm/s；</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最大速度@48VDC≥2m/s；</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位置重复性：±0.001mm；</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直线度：±0.2%；</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重复性with EPS：±0.01mm；</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搭配一体化旋转马达，最大转速≥6900度/s，</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精度≤0.036度，</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Z轴位移台≥120*80mm,</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行程≥60mm，</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配置面包板。</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配置8通道无线静电计，可实现电压、电荷和电流的采集，</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具有500/s的采样率。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4"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台式高精度溶液酸度计</w:t>
            </w:r>
          </w:p>
        </w:tc>
        <w:tc>
          <w:tcPr>
            <w:tcW w:w="72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8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43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配备Ph三复合电极。测量范围：0-14。</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温度范围： (5-60) °C；</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液接界：纤维单盐桥；</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参比结构： Ag/AgCI；</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填充液： 3.0 mol/L KCl；</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外壳材料：聚碳酸酯；</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敏感膜：玻璃求泡；</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温补元件： 2.25KΩ；</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外接插件： BNC 。</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、交货期：自行填写（</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、质保期：</w:t>
      </w:r>
      <w:r>
        <w:rPr>
          <w:rFonts w:hint="eastAsia" w:ascii="仿宋" w:hAnsi="仿宋" w:cs="仿宋"/>
          <w:b w:val="0"/>
          <w:bCs w:val="0"/>
          <w:color w:val="auto"/>
          <w:sz w:val="24"/>
          <w:szCs w:val="24"/>
          <w:highlight w:val="none"/>
          <w:lang w:val="en-US" w:eastAsia="zh-CN"/>
        </w:rPr>
        <w:t>1年</w:t>
      </w:r>
      <w:r>
        <w:rPr>
          <w:rFonts w:hint="eastAsia" w:ascii="仿宋" w:hAnsi="仿宋" w:eastAsia="仿宋" w:cs="仿宋"/>
          <w:b w:val="0"/>
          <w:bCs w:val="0"/>
          <w:color w:val="auto"/>
          <w:sz w:val="24"/>
          <w:szCs w:val="24"/>
          <w:highlight w:val="none"/>
          <w:lang w:val="en-US"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rPr>
          <w:rFonts w:hint="eastAsia" w:ascii="仿宋" w:hAnsi="仿宋" w:eastAsia="仿宋" w:cs="仿宋"/>
          <w:lang w:val="en-US" w:eastAsia="zh-CN"/>
        </w:rPr>
      </w:pPr>
      <w:r>
        <w:rPr>
          <w:rFonts w:hint="eastAsia" w:ascii="仿宋" w:hAnsi="仿宋" w:cs="仿宋"/>
          <w:lang w:val="en-US" w:eastAsia="zh-CN"/>
        </w:rPr>
        <w:t>6</w:t>
      </w:r>
      <w:r>
        <w:rPr>
          <w:rFonts w:hint="eastAsia" w:ascii="仿宋" w:hAnsi="仿宋" w:eastAsia="仿宋" w:cs="仿宋"/>
          <w:lang w:val="en-US" w:eastAsia="zh-CN"/>
        </w:rPr>
        <w:t>、验收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w:t>
      </w:r>
      <w:r>
        <w:rPr>
          <w:rFonts w:hint="eastAsia" w:ascii="仿宋" w:hAnsi="仿宋" w:cs="仿宋"/>
          <w:lang w:val="en-US" w:eastAsia="zh-CN"/>
        </w:rPr>
        <w:t>磋商文件</w:t>
      </w:r>
      <w:r>
        <w:rPr>
          <w:rFonts w:hint="eastAsia" w:ascii="仿宋" w:hAnsi="仿宋" w:eastAsia="仿宋" w:cs="仿宋"/>
          <w:lang w:val="en-US" w:eastAsia="zh-CN"/>
        </w:rPr>
        <w:t>、</w:t>
      </w:r>
      <w:r>
        <w:rPr>
          <w:rFonts w:hint="eastAsia" w:ascii="仿宋" w:hAnsi="仿宋" w:cs="仿宋"/>
          <w:lang w:val="en-US" w:eastAsia="zh-CN"/>
        </w:rPr>
        <w:t>响应文件</w:t>
      </w:r>
      <w:r>
        <w:rPr>
          <w:rFonts w:hint="eastAsia" w:ascii="仿宋" w:hAnsi="仿宋" w:eastAsia="仿宋" w:cs="仿宋"/>
          <w:lang w:val="en-US" w:eastAsia="zh-CN"/>
        </w:rPr>
        <w:t>、合同不符，采购人有权限根据检验结果要求中标人立即更换或者提出索赔要求。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r>
        <w:rPr>
          <w:rFonts w:hint="eastAsia"/>
          <w:lang w:val="en-US" w:eastAsia="zh-CN"/>
        </w:rPr>
        <w:t>。</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7</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cs="仿宋"/>
          <w:color w:val="auto"/>
          <w:sz w:val="24"/>
          <w:highlight w:val="none"/>
          <w:lang w:eastAsia="zh-CN"/>
        </w:rPr>
        <w:t>自中标公告发布之日起</w:t>
      </w:r>
      <w:r>
        <w:rPr>
          <w:rFonts w:hint="eastAsia" w:ascii="仿宋" w:hAnsi="仿宋" w:cs="仿宋"/>
          <w:color w:val="auto"/>
          <w:sz w:val="24"/>
          <w:highlight w:val="none"/>
          <w:lang w:val="en-US" w:eastAsia="zh-CN"/>
        </w:rPr>
        <w:t>3个工作日内</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%的预付款，采购人确定后7个工作日内支付。项目验收合格后7个工作日内，支付剩余合同货款。</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spacing w:line="360" w:lineRule="auto"/>
        <w:ind w:firstLine="480" w:firstLineChars="200"/>
        <w:rPr>
          <w:rFonts w:hint="eastAsia" w:ascii="宋体" w:hAnsi="宋体" w:cs="宋体"/>
          <w:color w:val="auto"/>
          <w:highlight w:val="none"/>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、若有其他优惠请自报。</w:t>
      </w: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panose1 w:val="020B0304030504040204"/>
    <w:charset w:val="88"/>
    <w:family w:val="swiss"/>
    <w:pitch w:val="default"/>
    <w:sig w:usb0="800002A7" w:usb1="28CF44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eastAsia"/>
        <w:lang w:eastAsia="zh-CN"/>
      </w:rPr>
    </w:pPr>
    <w:r>
      <w:rPr>
        <w:rFonts w:hint="eastAsia"/>
        <w:lang w:eastAsia="zh-CN"/>
      </w:rPr>
      <w:t>山东第一医科大学（山东省医学科学院）科教融合生物医学柔性电子实验室设备购置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8575B"/>
    <w:multiLevelType w:val="singleLevel"/>
    <w:tmpl w:val="86B8575B"/>
    <w:lvl w:ilvl="0" w:tentative="0">
      <w:start w:val="1"/>
      <w:numFmt w:val="decimal"/>
      <w:lvlText w:val="(%1)"/>
      <w:lvlJc w:val="left"/>
      <w:pPr>
        <w:tabs>
          <w:tab w:val="left" w:pos="312"/>
        </w:tabs>
      </w:pPr>
    </w:lvl>
  </w:abstractNum>
  <w:abstractNum w:abstractNumId="1">
    <w:nsid w:val="8F6712A0"/>
    <w:multiLevelType w:val="singleLevel"/>
    <w:tmpl w:val="8F6712A0"/>
    <w:lvl w:ilvl="0" w:tentative="0">
      <w:start w:val="1"/>
      <w:numFmt w:val="decimal"/>
      <w:suff w:val="space"/>
      <w:lvlText w:val="%1."/>
      <w:lvlJc w:val="left"/>
    </w:lvl>
  </w:abstractNum>
  <w:abstractNum w:abstractNumId="2">
    <w:nsid w:val="A22A601B"/>
    <w:multiLevelType w:val="singleLevel"/>
    <w:tmpl w:val="A22A601B"/>
    <w:lvl w:ilvl="0" w:tentative="0">
      <w:start w:val="1"/>
      <w:numFmt w:val="decimal"/>
      <w:lvlText w:val="%1."/>
      <w:lvlJc w:val="left"/>
      <w:pPr>
        <w:tabs>
          <w:tab w:val="left" w:pos="312"/>
        </w:tabs>
      </w:pPr>
    </w:lvl>
  </w:abstractNum>
  <w:abstractNum w:abstractNumId="3">
    <w:nsid w:val="A61BBA6F"/>
    <w:multiLevelType w:val="singleLevel"/>
    <w:tmpl w:val="A61BBA6F"/>
    <w:lvl w:ilvl="0" w:tentative="0">
      <w:start w:val="1"/>
      <w:numFmt w:val="decimal"/>
      <w:suff w:val="nothing"/>
      <w:lvlText w:val="%1、"/>
      <w:lvlJc w:val="left"/>
    </w:lvl>
  </w:abstractNum>
  <w:abstractNum w:abstractNumId="4">
    <w:nsid w:val="C6C61FC6"/>
    <w:multiLevelType w:val="singleLevel"/>
    <w:tmpl w:val="C6C61FC6"/>
    <w:lvl w:ilvl="0" w:tentative="0">
      <w:start w:val="1"/>
      <w:numFmt w:val="chineseCounting"/>
      <w:suff w:val="nothing"/>
      <w:lvlText w:val="%1、"/>
      <w:lvlJc w:val="left"/>
      <w:rPr>
        <w:rFonts w:hint="eastAsia"/>
      </w:rPr>
    </w:lvl>
  </w:abstractNum>
  <w:abstractNum w:abstractNumId="5">
    <w:nsid w:val="DA7D775F"/>
    <w:multiLevelType w:val="singleLevel"/>
    <w:tmpl w:val="DA7D775F"/>
    <w:lvl w:ilvl="0" w:tentative="0">
      <w:start w:val="1"/>
      <w:numFmt w:val="decimal"/>
      <w:suff w:val="nothing"/>
      <w:lvlText w:val="%1、"/>
      <w:lvlJc w:val="left"/>
    </w:lvl>
  </w:abstractNum>
  <w:abstractNum w:abstractNumId="6">
    <w:nsid w:val="F4E2CCA1"/>
    <w:multiLevelType w:val="singleLevel"/>
    <w:tmpl w:val="F4E2CCA1"/>
    <w:lvl w:ilvl="0" w:tentative="0">
      <w:start w:val="1"/>
      <w:numFmt w:val="decimal"/>
      <w:suff w:val="nothing"/>
      <w:lvlText w:val="（%1）"/>
      <w:lvlJc w:val="left"/>
    </w:lvl>
  </w:abstractNum>
  <w:abstractNum w:abstractNumId="7">
    <w:nsid w:val="F6A26C40"/>
    <w:multiLevelType w:val="singleLevel"/>
    <w:tmpl w:val="F6A26C40"/>
    <w:lvl w:ilvl="0" w:tentative="0">
      <w:start w:val="1"/>
      <w:numFmt w:val="decimal"/>
      <w:suff w:val="nothing"/>
      <w:lvlText w:val="%1、"/>
      <w:lvlJc w:val="left"/>
    </w:lvl>
  </w:abstractNum>
  <w:abstractNum w:abstractNumId="8">
    <w:nsid w:val="039ABF68"/>
    <w:multiLevelType w:val="singleLevel"/>
    <w:tmpl w:val="039ABF68"/>
    <w:lvl w:ilvl="0" w:tentative="0">
      <w:start w:val="1"/>
      <w:numFmt w:val="decimal"/>
      <w:lvlText w:val="(%1)"/>
      <w:lvlJc w:val="left"/>
      <w:pPr>
        <w:tabs>
          <w:tab w:val="left" w:pos="312"/>
        </w:tabs>
      </w:pPr>
    </w:lvl>
  </w:abstractNum>
  <w:abstractNum w:abstractNumId="9">
    <w:nsid w:val="1729E38F"/>
    <w:multiLevelType w:val="singleLevel"/>
    <w:tmpl w:val="1729E38F"/>
    <w:lvl w:ilvl="0" w:tentative="0">
      <w:start w:val="1"/>
      <w:numFmt w:val="decimal"/>
      <w:lvlText w:val="(%1)"/>
      <w:lvlJc w:val="left"/>
      <w:pPr>
        <w:tabs>
          <w:tab w:val="left" w:pos="312"/>
        </w:tabs>
      </w:pPr>
    </w:lvl>
  </w:abstractNum>
  <w:abstractNum w:abstractNumId="10">
    <w:nsid w:val="182BB1BB"/>
    <w:multiLevelType w:val="singleLevel"/>
    <w:tmpl w:val="182BB1BB"/>
    <w:lvl w:ilvl="0" w:tentative="0">
      <w:start w:val="1"/>
      <w:numFmt w:val="decimal"/>
      <w:suff w:val="space"/>
      <w:lvlText w:val="%1."/>
      <w:lvlJc w:val="left"/>
    </w:lvl>
  </w:abstractNum>
  <w:abstractNum w:abstractNumId="11">
    <w:nsid w:val="4457EAC6"/>
    <w:multiLevelType w:val="singleLevel"/>
    <w:tmpl w:val="4457EAC6"/>
    <w:lvl w:ilvl="0" w:tentative="0">
      <w:start w:val="1"/>
      <w:numFmt w:val="decimal"/>
      <w:suff w:val="nothing"/>
      <w:lvlText w:val="%1、"/>
      <w:lvlJc w:val="left"/>
    </w:lvl>
  </w:abstractNum>
  <w:abstractNum w:abstractNumId="12">
    <w:nsid w:val="4A91C3AD"/>
    <w:multiLevelType w:val="singleLevel"/>
    <w:tmpl w:val="4A91C3AD"/>
    <w:lvl w:ilvl="0" w:tentative="0">
      <w:start w:val="1"/>
      <w:numFmt w:val="decimal"/>
      <w:suff w:val="nothing"/>
      <w:lvlText w:val="%1、"/>
      <w:lvlJc w:val="left"/>
    </w:lvl>
  </w:abstractNum>
  <w:abstractNum w:abstractNumId="13">
    <w:nsid w:val="55088D1F"/>
    <w:multiLevelType w:val="singleLevel"/>
    <w:tmpl w:val="55088D1F"/>
    <w:lvl w:ilvl="0" w:tentative="0">
      <w:start w:val="1"/>
      <w:numFmt w:val="decimal"/>
      <w:suff w:val="nothing"/>
      <w:lvlText w:val="%1、"/>
      <w:lvlJc w:val="left"/>
    </w:lvl>
  </w:abstractNum>
  <w:abstractNum w:abstractNumId="14">
    <w:nsid w:val="59C19D13"/>
    <w:multiLevelType w:val="singleLevel"/>
    <w:tmpl w:val="59C19D13"/>
    <w:lvl w:ilvl="0" w:tentative="0">
      <w:start w:val="1"/>
      <w:numFmt w:val="decimal"/>
      <w:suff w:val="nothing"/>
      <w:lvlText w:val="%1、"/>
      <w:lvlJc w:val="left"/>
    </w:lvl>
  </w:abstractNum>
  <w:abstractNum w:abstractNumId="15">
    <w:nsid w:val="5D9C277F"/>
    <w:multiLevelType w:val="singleLevel"/>
    <w:tmpl w:val="5D9C277F"/>
    <w:lvl w:ilvl="0" w:tentative="0">
      <w:start w:val="1"/>
      <w:numFmt w:val="chineseCounting"/>
      <w:suff w:val="nothing"/>
      <w:lvlText w:val="%1、"/>
      <w:lvlJc w:val="left"/>
      <w:rPr>
        <w:rFonts w:hint="eastAsia"/>
      </w:rPr>
    </w:lvl>
  </w:abstractNum>
  <w:abstractNum w:abstractNumId="16">
    <w:nsid w:val="68E3B270"/>
    <w:multiLevelType w:val="singleLevel"/>
    <w:tmpl w:val="68E3B270"/>
    <w:lvl w:ilvl="0" w:tentative="0">
      <w:start w:val="2"/>
      <w:numFmt w:val="decimal"/>
      <w:lvlText w:val="(%1)"/>
      <w:lvlJc w:val="left"/>
      <w:pPr>
        <w:tabs>
          <w:tab w:val="left" w:pos="312"/>
        </w:tabs>
      </w:pPr>
    </w:lvl>
  </w:abstractNum>
  <w:num w:numId="1">
    <w:abstractNumId w:val="1"/>
  </w:num>
  <w:num w:numId="2">
    <w:abstractNumId w:val="6"/>
  </w:num>
  <w:num w:numId="3">
    <w:abstractNumId w:val="16"/>
  </w:num>
  <w:num w:numId="4">
    <w:abstractNumId w:val="10"/>
  </w:num>
  <w:num w:numId="5">
    <w:abstractNumId w:val="8"/>
  </w:num>
  <w:num w:numId="6">
    <w:abstractNumId w:val="2"/>
  </w:num>
  <w:num w:numId="7">
    <w:abstractNumId w:val="15"/>
  </w:num>
  <w:num w:numId="8">
    <w:abstractNumId w:val="9"/>
  </w:num>
  <w:num w:numId="9">
    <w:abstractNumId w:val="14"/>
  </w:num>
  <w:num w:numId="10">
    <w:abstractNumId w:val="5"/>
  </w:num>
  <w:num w:numId="11">
    <w:abstractNumId w:val="12"/>
  </w:num>
  <w:num w:numId="12">
    <w:abstractNumId w:val="11"/>
  </w:num>
  <w:num w:numId="13">
    <w:abstractNumId w:val="4"/>
  </w:num>
  <w:num w:numId="14">
    <w:abstractNumId w:val="7"/>
  </w:num>
  <w:num w:numId="15">
    <w:abstractNumId w:val="3"/>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hMGRlODllNDdhNGY0Yzc0NTViOWY2YWMyNzk4Yzk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5E460C8"/>
    <w:rsid w:val="075637DD"/>
    <w:rsid w:val="0791635C"/>
    <w:rsid w:val="07D57174"/>
    <w:rsid w:val="082E0105"/>
    <w:rsid w:val="086C7AD9"/>
    <w:rsid w:val="09063A89"/>
    <w:rsid w:val="0B536D2E"/>
    <w:rsid w:val="0CDA409A"/>
    <w:rsid w:val="0E3A41D5"/>
    <w:rsid w:val="0E753EF5"/>
    <w:rsid w:val="104C30A0"/>
    <w:rsid w:val="1124064B"/>
    <w:rsid w:val="12FE1A4A"/>
    <w:rsid w:val="1491260A"/>
    <w:rsid w:val="152627CF"/>
    <w:rsid w:val="15A32D0F"/>
    <w:rsid w:val="16E41182"/>
    <w:rsid w:val="1AB8164C"/>
    <w:rsid w:val="1B2748E2"/>
    <w:rsid w:val="1B6308D2"/>
    <w:rsid w:val="1E982F7E"/>
    <w:rsid w:val="1F547D24"/>
    <w:rsid w:val="1FCC406C"/>
    <w:rsid w:val="1FE754CF"/>
    <w:rsid w:val="216B7C05"/>
    <w:rsid w:val="21E62252"/>
    <w:rsid w:val="23846943"/>
    <w:rsid w:val="273B08EE"/>
    <w:rsid w:val="27905D65"/>
    <w:rsid w:val="29286B8A"/>
    <w:rsid w:val="29AA0009"/>
    <w:rsid w:val="2B1C6CE5"/>
    <w:rsid w:val="2C870A0C"/>
    <w:rsid w:val="2E6E4C8A"/>
    <w:rsid w:val="2EB52320"/>
    <w:rsid w:val="30926B16"/>
    <w:rsid w:val="31483447"/>
    <w:rsid w:val="31537385"/>
    <w:rsid w:val="31832300"/>
    <w:rsid w:val="31F6203D"/>
    <w:rsid w:val="341838FD"/>
    <w:rsid w:val="34A75871"/>
    <w:rsid w:val="36301896"/>
    <w:rsid w:val="367479D5"/>
    <w:rsid w:val="36E342CE"/>
    <w:rsid w:val="37195621"/>
    <w:rsid w:val="3A230C04"/>
    <w:rsid w:val="3F7E18C4"/>
    <w:rsid w:val="402C195C"/>
    <w:rsid w:val="402E5098"/>
    <w:rsid w:val="405C4075"/>
    <w:rsid w:val="40752FE6"/>
    <w:rsid w:val="40D73BA8"/>
    <w:rsid w:val="4860600B"/>
    <w:rsid w:val="487773F6"/>
    <w:rsid w:val="4979568B"/>
    <w:rsid w:val="4AAA7A11"/>
    <w:rsid w:val="4C7402D7"/>
    <w:rsid w:val="4CC56D84"/>
    <w:rsid w:val="4E5C73E5"/>
    <w:rsid w:val="4F0C0C9A"/>
    <w:rsid w:val="4F934F18"/>
    <w:rsid w:val="4F9B00EC"/>
    <w:rsid w:val="51E101BC"/>
    <w:rsid w:val="52B551A5"/>
    <w:rsid w:val="59611BE3"/>
    <w:rsid w:val="5D131446"/>
    <w:rsid w:val="5E176D14"/>
    <w:rsid w:val="622B2D11"/>
    <w:rsid w:val="63424833"/>
    <w:rsid w:val="68FE11FC"/>
    <w:rsid w:val="71686BB4"/>
    <w:rsid w:val="72AC4025"/>
    <w:rsid w:val="75390472"/>
    <w:rsid w:val="75BB6235"/>
    <w:rsid w:val="78B73A67"/>
    <w:rsid w:val="7C391F06"/>
    <w:rsid w:val="7C821E87"/>
    <w:rsid w:val="7CBA3059"/>
    <w:rsid w:val="7D231D76"/>
    <w:rsid w:val="7D32369A"/>
    <w:rsid w:val="7D7653AD"/>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4"/>
    <w:semiHidden/>
    <w:unhideWhenUsed/>
    <w:qFormat/>
    <w:uiPriority w:val="99"/>
    <w:pPr>
      <w:spacing w:after="120"/>
    </w:pPr>
    <w:rPr>
      <w:sz w:val="16"/>
      <w:szCs w:val="16"/>
    </w:rPr>
  </w:style>
  <w:style w:type="paragraph" w:styleId="12">
    <w:name w:val="Body Text"/>
    <w:basedOn w:val="1"/>
    <w:next w:val="1"/>
    <w:qFormat/>
    <w:uiPriority w:val="0"/>
    <w:pPr>
      <w:spacing w:after="120"/>
    </w:pPr>
  </w:style>
  <w:style w:type="paragraph" w:styleId="13">
    <w:name w:val="Plain Text"/>
    <w:basedOn w:val="1"/>
    <w:link w:val="35"/>
    <w:qFormat/>
    <w:uiPriority w:val="0"/>
    <w:rPr>
      <w:rFonts w:ascii="宋体" w:hAnsi="Courier New" w:eastAsia="宋体"/>
      <w:sz w:val="21"/>
    </w:rPr>
  </w:style>
  <w:style w:type="paragraph" w:styleId="14">
    <w:name w:val="Balloon Text"/>
    <w:basedOn w:val="1"/>
    <w:link w:val="44"/>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7"/>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6"/>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5"/>
    <w:qFormat/>
    <w:uiPriority w:val="9"/>
    <w:rPr>
      <w:rFonts w:ascii="Calibri" w:hAnsi="Calibri" w:eastAsia="仿宋" w:cs="Times New Roman"/>
      <w:b/>
      <w:bCs/>
      <w:kern w:val="44"/>
      <w:sz w:val="44"/>
      <w:szCs w:val="44"/>
    </w:rPr>
  </w:style>
  <w:style w:type="character" w:customStyle="1" w:styleId="34">
    <w:name w:val="正文文本 3 字符"/>
    <w:basedOn w:val="22"/>
    <w:link w:val="11"/>
    <w:semiHidden/>
    <w:qFormat/>
    <w:uiPriority w:val="99"/>
    <w:rPr>
      <w:rFonts w:ascii="Calibri" w:hAnsi="Calibri" w:eastAsia="仿宋" w:cs="Times New Roman"/>
      <w:sz w:val="16"/>
      <w:szCs w:val="16"/>
    </w:rPr>
  </w:style>
  <w:style w:type="character" w:customStyle="1" w:styleId="35">
    <w:name w:val="纯文本 字符"/>
    <w:link w:val="13"/>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10"/>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20"/>
    <w:semiHidden/>
    <w:qFormat/>
    <w:uiPriority w:val="99"/>
    <w:rPr>
      <w:rFonts w:ascii="Calibri" w:hAnsi="Calibri" w:eastAsia="仿宋" w:cs="Times New Roman"/>
      <w:b/>
      <w:bCs/>
      <w:sz w:val="24"/>
      <w:szCs w:val="20"/>
    </w:rPr>
  </w:style>
  <w:style w:type="character" w:customStyle="1" w:styleId="44">
    <w:name w:val="批注框文本 字符"/>
    <w:basedOn w:val="22"/>
    <w:link w:val="14"/>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41"/>
    <w:basedOn w:val="22"/>
    <w:qFormat/>
    <w:uiPriority w:val="0"/>
    <w:rPr>
      <w:rFonts w:hint="eastAsia" w:ascii="宋体" w:hAnsi="宋体" w:eastAsia="宋体" w:cs="宋体"/>
      <w:color w:val="000000"/>
      <w:sz w:val="22"/>
      <w:szCs w:val="22"/>
      <w:u w:val="none"/>
    </w:rPr>
  </w:style>
  <w:style w:type="character" w:customStyle="1" w:styleId="53">
    <w:name w:val="font51"/>
    <w:basedOn w:val="22"/>
    <w:qFormat/>
    <w:uiPriority w:val="0"/>
    <w:rPr>
      <w:rFonts w:hint="eastAsia" w:ascii="宋体" w:hAnsi="宋体" w:eastAsia="宋体" w:cs="宋体"/>
      <w:color w:val="000000"/>
      <w:sz w:val="22"/>
      <w:szCs w:val="22"/>
      <w:u w:val="none"/>
    </w:rPr>
  </w:style>
  <w:style w:type="character" w:customStyle="1" w:styleId="54">
    <w:name w:val="font3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23</Pages>
  <Words>10981</Words>
  <Characters>13032</Characters>
  <Lines>69</Lines>
  <Paragraphs>19</Paragraphs>
  <TotalTime>0</TotalTime>
  <ScaleCrop>false</ScaleCrop>
  <LinksUpToDate>false</LinksUpToDate>
  <CharactersWithSpaces>13285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山东华仁永旺</cp:lastModifiedBy>
  <cp:lastPrinted>2021-11-02T06:52:00Z</cp:lastPrinted>
  <dcterms:modified xsi:type="dcterms:W3CDTF">2023-11-02T06:28:20Z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DA80F96F35F5414AB4B1E3BE5565E172</vt:lpwstr>
  </property>
</Properties>
</file>