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ascii="仿宋" w:hAnsi="仿宋" w:cs="仿宋"/>
        </w:rPr>
      </w:pPr>
    </w:p>
    <w:p>
      <w:pPr>
        <w:ind w:firstLine="480"/>
        <w:jc w:val="right"/>
        <w:rPr>
          <w:rFonts w:ascii="仿宋" w:hAnsi="仿宋" w:cs="仿宋"/>
        </w:rPr>
      </w:pPr>
      <w:r>
        <w:rPr>
          <w:rFonts w:hint="eastAsia" w:ascii="仿宋" w:hAnsi="仿宋" w:cs="仿宋"/>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3"/>
                    <a:stretch>
                      <a:fillRect/>
                    </a:stretch>
                  </pic:blipFill>
                  <pic:spPr>
                    <a:xfrm>
                      <a:off x="0" y="0"/>
                      <a:ext cx="1483360" cy="878205"/>
                    </a:xfrm>
                    <a:prstGeom prst="rect">
                      <a:avLst/>
                    </a:prstGeom>
                    <a:noFill/>
                    <a:ln>
                      <a:noFill/>
                    </a:ln>
                  </pic:spPr>
                </pic:pic>
              </a:graphicData>
            </a:graphic>
          </wp:inline>
        </w:drawing>
      </w:r>
    </w:p>
    <w:p>
      <w:pPr>
        <w:ind w:firstLine="480"/>
        <w:rPr>
          <w:rFonts w:ascii="仿宋" w:hAnsi="仿宋" w:cs="仿宋"/>
        </w:rPr>
      </w:pPr>
    </w:p>
    <w:p>
      <w:pPr>
        <w:ind w:firstLine="0" w:firstLineChars="0"/>
        <w:jc w:val="center"/>
        <w:rPr>
          <w:rFonts w:ascii="仿宋" w:hAnsi="仿宋" w:cs="仿宋"/>
          <w:b/>
          <w:sz w:val="48"/>
          <w:szCs w:val="48"/>
        </w:rPr>
      </w:pPr>
      <w:r>
        <w:rPr>
          <w:rFonts w:hint="eastAsia" w:ascii="仿宋" w:hAnsi="仿宋" w:cs="仿宋"/>
          <w:b/>
          <w:bCs/>
          <w:sz w:val="48"/>
          <w:szCs w:val="48"/>
        </w:rPr>
        <w:t>山东第一医科大学（山东省医学科学院）</w:t>
      </w:r>
      <w:r>
        <w:rPr>
          <w:rFonts w:hint="eastAsia" w:ascii="仿宋" w:hAnsi="仿宋" w:cs="仿宋"/>
          <w:b/>
          <w:bCs/>
          <w:sz w:val="48"/>
          <w:szCs w:val="48"/>
          <w:lang w:eastAsia="zh-CN"/>
        </w:rPr>
        <w:t>科教融合多组学引导肿瘤精准放射治疗关键技术研究设备购置（二次）</w:t>
      </w:r>
      <w:r>
        <w:rPr>
          <w:rFonts w:hint="eastAsia" w:ascii="仿宋" w:hAnsi="仿宋" w:cs="仿宋"/>
          <w:b/>
          <w:sz w:val="48"/>
          <w:szCs w:val="48"/>
        </w:rPr>
        <w:t>公开招标文件</w:t>
      </w:r>
    </w:p>
    <w:p>
      <w:pPr>
        <w:ind w:firstLine="243" w:firstLineChars="55"/>
        <w:jc w:val="center"/>
        <w:rPr>
          <w:rFonts w:ascii="仿宋" w:hAnsi="仿宋" w:cs="仿宋"/>
          <w:b/>
          <w:sz w:val="44"/>
          <w:szCs w:val="44"/>
        </w:rPr>
      </w:pPr>
    </w:p>
    <w:p>
      <w:pPr>
        <w:ind w:firstLine="0" w:firstLineChars="0"/>
        <w:rPr>
          <w:rFonts w:ascii="仿宋" w:hAnsi="仿宋" w:cs="仿宋"/>
        </w:rPr>
      </w:pPr>
    </w:p>
    <w:p>
      <w:pPr>
        <w:ind w:firstLine="199" w:firstLineChars="55"/>
        <w:jc w:val="center"/>
        <w:rPr>
          <w:rFonts w:hint="eastAsia" w:ascii="仿宋" w:hAnsi="仿宋" w:cs="仿宋"/>
          <w:b/>
          <w:sz w:val="36"/>
          <w:szCs w:val="36"/>
        </w:rPr>
      </w:pPr>
      <w:r>
        <w:rPr>
          <w:rFonts w:hint="eastAsia" w:ascii="仿宋" w:hAnsi="仿宋" w:cs="仿宋"/>
          <w:b/>
          <w:sz w:val="36"/>
          <w:szCs w:val="36"/>
        </w:rPr>
        <w:t>项目编号：SDGP370000000202302003973</w:t>
      </w:r>
    </w:p>
    <w:p>
      <w:pPr>
        <w:ind w:firstLine="199" w:firstLineChars="55"/>
        <w:jc w:val="center"/>
        <w:rPr>
          <w:rFonts w:ascii="仿宋" w:hAnsi="仿宋" w:cs="仿宋"/>
          <w:b/>
          <w:sz w:val="36"/>
          <w:szCs w:val="36"/>
          <w:u w:val="single"/>
        </w:rPr>
      </w:pPr>
      <w:r>
        <w:rPr>
          <w:rFonts w:hint="eastAsia" w:ascii="仿宋" w:hAnsi="仿宋" w:cs="仿宋"/>
          <w:b/>
          <w:sz w:val="36"/>
          <w:szCs w:val="36"/>
        </w:rPr>
        <w:t>/sdhryw2023120</w:t>
      </w:r>
    </w:p>
    <w:p>
      <w:pPr>
        <w:pStyle w:val="3"/>
        <w:ind w:left="0" w:leftChars="0" w:right="-42" w:firstLine="482"/>
        <w:rPr>
          <w:rFonts w:ascii="仿宋" w:hAnsi="仿宋" w:eastAsia="仿宋" w:cs="仿宋"/>
          <w:b/>
          <w:bCs/>
          <w:sz w:val="24"/>
          <w:szCs w:val="24"/>
        </w:rPr>
      </w:pPr>
    </w:p>
    <w:p>
      <w:pPr>
        <w:ind w:firstLine="723"/>
        <w:jc w:val="center"/>
        <w:rPr>
          <w:rFonts w:ascii="仿宋" w:hAnsi="仿宋" w:cs="仿宋"/>
          <w:b/>
          <w:bCs/>
          <w:szCs w:val="24"/>
        </w:rPr>
      </w:pPr>
      <w:r>
        <w:rPr>
          <w:rFonts w:hint="eastAsia" w:ascii="仿宋" w:hAnsi="仿宋" w:cs="仿宋"/>
          <w:b/>
          <w:bCs/>
          <w:sz w:val="36"/>
          <w:szCs w:val="36"/>
        </w:rPr>
        <w:t>（第二册 项目专用部分）</w:t>
      </w: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jc w:val="both"/>
        <w:rPr>
          <w:rFonts w:ascii="仿宋" w:hAnsi="仿宋" w:cs="仿宋"/>
          <w:b/>
          <w:bCs/>
          <w:szCs w:val="24"/>
        </w:rPr>
      </w:pPr>
    </w:p>
    <w:p>
      <w:pPr>
        <w:ind w:firstLine="482"/>
        <w:jc w:val="center"/>
        <w:rPr>
          <w:rFonts w:ascii="仿宋" w:hAnsi="仿宋" w:cs="仿宋"/>
          <w:b/>
          <w:bCs/>
          <w:szCs w:val="24"/>
        </w:rPr>
      </w:pPr>
    </w:p>
    <w:p>
      <w:pPr>
        <w:ind w:firstLine="0" w:firstLineChars="0"/>
        <w:rPr>
          <w:rFonts w:ascii="仿宋" w:hAnsi="仿宋" w:cs="仿宋"/>
          <w:b/>
          <w:sz w:val="36"/>
          <w:szCs w:val="36"/>
        </w:rPr>
      </w:pPr>
      <w:r>
        <w:rPr>
          <w:rFonts w:hint="eastAsia" w:ascii="仿宋" w:hAnsi="仿宋" w:cs="仿宋"/>
          <w:b/>
          <w:bCs/>
          <w:szCs w:val="24"/>
        </w:rPr>
        <w:t xml:space="preserve">  </w:t>
      </w:r>
    </w:p>
    <w:p>
      <w:pPr>
        <w:ind w:left="1440" w:leftChars="600" w:firstLine="0" w:firstLineChars="0"/>
        <w:rPr>
          <w:rFonts w:ascii="仿宋" w:hAnsi="仿宋" w:cs="仿宋"/>
          <w:b/>
          <w:sz w:val="36"/>
          <w:szCs w:val="36"/>
        </w:rPr>
      </w:pPr>
      <w:r>
        <w:rPr>
          <w:rFonts w:hint="eastAsia" w:ascii="仿宋" w:hAnsi="仿宋" w:cs="仿宋"/>
          <w:b/>
          <w:sz w:val="36"/>
          <w:szCs w:val="36"/>
        </w:rPr>
        <w:t>采   购   人：</w:t>
      </w:r>
      <w:r>
        <w:rPr>
          <w:rFonts w:hint="eastAsia" w:ascii="仿宋" w:hAnsi="仿宋" w:cs="仿宋"/>
          <w:b/>
          <w:bCs/>
          <w:sz w:val="36"/>
          <w:szCs w:val="36"/>
          <w:u w:val="single"/>
        </w:rPr>
        <w:t>山东第一医科大学（山东省医学科学院）</w:t>
      </w:r>
    </w:p>
    <w:p>
      <w:pPr>
        <w:ind w:firstLine="1446" w:firstLineChars="400"/>
        <w:rPr>
          <w:rFonts w:ascii="仿宋" w:hAnsi="仿宋" w:cs="仿宋"/>
          <w:b/>
          <w:sz w:val="36"/>
          <w:szCs w:val="36"/>
        </w:rPr>
      </w:pPr>
      <w:r>
        <w:rPr>
          <w:rFonts w:hint="eastAsia" w:ascii="仿宋" w:hAnsi="仿宋" w:cs="仿宋"/>
          <w:b/>
          <w:sz w:val="36"/>
          <w:szCs w:val="36"/>
        </w:rPr>
        <w:t>采购代理机构：</w:t>
      </w:r>
      <w:r>
        <w:rPr>
          <w:rFonts w:hint="eastAsia" w:ascii="仿宋" w:hAnsi="仿宋" w:cs="仿宋"/>
          <w:b/>
          <w:sz w:val="36"/>
          <w:szCs w:val="36"/>
          <w:u w:val="single"/>
        </w:rPr>
        <w:t>山东华仁永旺招标有限公司</w:t>
      </w:r>
    </w:p>
    <w:p>
      <w:pPr>
        <w:ind w:firstLine="1446" w:firstLineChars="400"/>
        <w:rPr>
          <w:rFonts w:ascii="仿宋" w:hAnsi="仿宋" w:cs="仿宋"/>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cs="仿宋"/>
          <w:b/>
          <w:sz w:val="36"/>
          <w:szCs w:val="36"/>
        </w:rPr>
        <w:t>日        期：</w:t>
      </w:r>
      <w:r>
        <w:rPr>
          <w:rFonts w:hint="eastAsia" w:ascii="仿宋" w:hAnsi="仿宋" w:cs="仿宋"/>
          <w:b/>
          <w:sz w:val="36"/>
          <w:szCs w:val="36"/>
          <w:u w:val="single"/>
        </w:rPr>
        <w:t>二〇二三年</w:t>
      </w:r>
      <w:r>
        <w:rPr>
          <w:rFonts w:hint="eastAsia" w:ascii="仿宋" w:hAnsi="仿宋" w:cs="仿宋"/>
          <w:b/>
          <w:sz w:val="36"/>
          <w:szCs w:val="36"/>
          <w:u w:val="single"/>
          <w:lang w:eastAsia="zh-CN"/>
        </w:rPr>
        <w:t>七</w:t>
      </w:r>
      <w:r>
        <w:rPr>
          <w:rFonts w:hint="eastAsia" w:ascii="仿宋" w:hAnsi="仿宋" w:cs="仿宋"/>
          <w:b/>
          <w:sz w:val="36"/>
          <w:szCs w:val="36"/>
          <w:u w:val="single"/>
        </w:rPr>
        <w:t>月</w:t>
      </w:r>
    </w:p>
    <w:p>
      <w:pPr>
        <w:pStyle w:val="33"/>
        <w:ind w:firstLine="0" w:firstLineChars="0"/>
        <w:jc w:val="center"/>
        <w:rPr>
          <w:rFonts w:ascii="仿宋" w:hAnsi="仿宋" w:cs="仿宋"/>
          <w:b/>
          <w:sz w:val="32"/>
          <w:szCs w:val="28"/>
        </w:rPr>
      </w:pPr>
      <w:r>
        <w:rPr>
          <w:rFonts w:hint="eastAsia" w:ascii="仿宋" w:hAnsi="仿宋" w:cs="仿宋"/>
          <w:b/>
          <w:sz w:val="32"/>
          <w:szCs w:val="28"/>
        </w:rPr>
        <w:t>目  录</w:t>
      </w:r>
    </w:p>
    <w:p>
      <w:pPr>
        <w:pStyle w:val="33"/>
        <w:spacing w:line="360" w:lineRule="auto"/>
        <w:ind w:firstLine="0" w:firstLineChars="0"/>
        <w:rPr>
          <w:rFonts w:ascii="仿宋" w:hAnsi="仿宋" w:cs="仿宋"/>
          <w:b/>
          <w:sz w:val="28"/>
          <w:szCs w:val="28"/>
        </w:rPr>
      </w:pPr>
      <w:bookmarkStart w:id="0" w:name="_Toc106784518"/>
      <w:r>
        <w:rPr>
          <w:rFonts w:hint="eastAsia" w:ascii="仿宋" w:hAnsi="仿宋" w:cs="仿宋"/>
          <w:b/>
          <w:sz w:val="28"/>
          <w:szCs w:val="28"/>
        </w:rPr>
        <w:t>第一册  通用部分</w:t>
      </w:r>
    </w:p>
    <w:p>
      <w:pPr>
        <w:pStyle w:val="33"/>
        <w:spacing w:line="360" w:lineRule="auto"/>
        <w:ind w:firstLine="482"/>
        <w:rPr>
          <w:rFonts w:ascii="仿宋" w:hAnsi="仿宋" w:cs="仿宋"/>
          <w:b/>
        </w:rPr>
      </w:pPr>
      <w:r>
        <w:rPr>
          <w:rFonts w:hint="eastAsia" w:ascii="仿宋" w:hAnsi="仿宋" w:cs="仿宋"/>
          <w:b/>
        </w:rPr>
        <w:t>第一部分   投标人须知</w:t>
      </w:r>
    </w:p>
    <w:p>
      <w:pPr>
        <w:pStyle w:val="33"/>
        <w:spacing w:line="360" w:lineRule="auto"/>
        <w:ind w:firstLine="482"/>
        <w:rPr>
          <w:rFonts w:ascii="仿宋" w:hAnsi="仿宋" w:cs="仿宋"/>
          <w:b/>
        </w:rPr>
      </w:pPr>
      <w:r>
        <w:rPr>
          <w:rFonts w:hint="eastAsia" w:ascii="仿宋" w:hAnsi="仿宋" w:cs="仿宋"/>
          <w:b/>
        </w:rPr>
        <w:t>第二部分   政府采购合同格式</w:t>
      </w:r>
    </w:p>
    <w:p>
      <w:pPr>
        <w:pStyle w:val="33"/>
        <w:spacing w:line="360" w:lineRule="auto"/>
        <w:ind w:firstLine="482"/>
        <w:rPr>
          <w:rFonts w:ascii="仿宋" w:hAnsi="仿宋" w:cs="仿宋"/>
          <w:b/>
        </w:rPr>
      </w:pPr>
      <w:r>
        <w:rPr>
          <w:rFonts w:hint="eastAsia" w:ascii="仿宋" w:hAnsi="仿宋" w:cs="仿宋"/>
          <w:b/>
        </w:rPr>
        <w:t>第三部分   投标文件格式</w:t>
      </w:r>
    </w:p>
    <w:p>
      <w:pPr>
        <w:pStyle w:val="33"/>
        <w:spacing w:line="360" w:lineRule="auto"/>
        <w:ind w:firstLine="482"/>
        <w:rPr>
          <w:rFonts w:ascii="仿宋" w:hAnsi="仿宋" w:cs="仿宋"/>
          <w:b/>
        </w:rPr>
      </w:pPr>
      <w:r>
        <w:rPr>
          <w:rFonts w:hint="eastAsia" w:ascii="仿宋" w:hAnsi="仿宋" w:cs="仿宋"/>
          <w:b/>
        </w:rPr>
        <w:t>第四部分   附件</w:t>
      </w:r>
    </w:p>
    <w:p>
      <w:pPr>
        <w:pStyle w:val="33"/>
        <w:ind w:firstLine="0" w:firstLineChars="0"/>
        <w:rPr>
          <w:rFonts w:ascii="仿宋" w:hAnsi="仿宋" w:cs="仿宋"/>
        </w:rPr>
      </w:pPr>
    </w:p>
    <w:p>
      <w:pPr>
        <w:pStyle w:val="33"/>
        <w:ind w:firstLine="0" w:firstLineChars="0"/>
        <w:rPr>
          <w:rFonts w:ascii="仿宋" w:hAnsi="仿宋" w:cs="仿宋"/>
        </w:rPr>
      </w:pPr>
    </w:p>
    <w:p>
      <w:pPr>
        <w:pStyle w:val="33"/>
        <w:spacing w:line="360" w:lineRule="auto"/>
        <w:ind w:firstLine="0" w:firstLineChars="0"/>
        <w:rPr>
          <w:rFonts w:ascii="仿宋" w:hAnsi="仿宋" w:cs="仿宋"/>
          <w:b/>
          <w:sz w:val="28"/>
          <w:szCs w:val="28"/>
        </w:rPr>
      </w:pPr>
      <w:r>
        <w:rPr>
          <w:rFonts w:hint="eastAsia" w:ascii="仿宋" w:hAnsi="仿宋" w:cs="仿宋"/>
          <w:b/>
          <w:sz w:val="28"/>
          <w:szCs w:val="28"/>
        </w:rPr>
        <w:t>第二册  项目专用部分（本册）</w:t>
      </w:r>
    </w:p>
    <w:p>
      <w:pPr>
        <w:pStyle w:val="19"/>
        <w:tabs>
          <w:tab w:val="right" w:leader="dot" w:pos="9629"/>
        </w:tabs>
        <w:ind w:firstLine="480"/>
        <w:rPr>
          <w:rFonts w:ascii="仿宋" w:hAnsi="仿宋" w:cs="仿宋"/>
          <w:sz w:val="21"/>
          <w:szCs w:val="22"/>
        </w:rPr>
      </w:pPr>
      <w:r>
        <w:rPr>
          <w:rFonts w:hint="eastAsia" w:ascii="仿宋" w:hAnsi="仿宋" w:cs="仿宋"/>
        </w:rPr>
        <w:fldChar w:fldCharType="begin"/>
      </w:r>
      <w:r>
        <w:rPr>
          <w:rFonts w:hint="eastAsia" w:ascii="仿宋" w:hAnsi="仿宋" w:cs="仿宋"/>
        </w:rPr>
        <w:instrText xml:space="preserve"> TOC \o "1-2" \h \z \u </w:instrText>
      </w:r>
      <w:r>
        <w:rPr>
          <w:rFonts w:hint="eastAsia" w:ascii="仿宋" w:hAnsi="仿宋" w:cs="仿宋"/>
        </w:rPr>
        <w:fldChar w:fldCharType="separate"/>
      </w:r>
      <w:r>
        <w:fldChar w:fldCharType="begin"/>
      </w:r>
      <w:r>
        <w:instrText xml:space="preserve"> HYPERLINK \l "_Toc106784591" </w:instrText>
      </w:r>
      <w:r>
        <w:fldChar w:fldCharType="separate"/>
      </w:r>
      <w:r>
        <w:rPr>
          <w:rStyle w:val="27"/>
          <w:rFonts w:hint="eastAsia" w:ascii="仿宋" w:hAnsi="仿宋" w:cs="仿宋"/>
          <w:b/>
          <w:color w:val="auto"/>
        </w:rPr>
        <w:t>第五部分 投标邀请</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_Toc106784591 \h </w:instrText>
      </w:r>
      <w:r>
        <w:rPr>
          <w:rFonts w:hint="eastAsia" w:ascii="仿宋" w:hAnsi="仿宋" w:cs="仿宋"/>
        </w:rPr>
        <w:fldChar w:fldCharType="separate"/>
      </w:r>
      <w:r>
        <w:rPr>
          <w:rFonts w:hint="eastAsia" w:ascii="仿宋" w:hAnsi="仿宋" w:cs="仿宋"/>
        </w:rPr>
        <w:t>3</w:t>
      </w:r>
      <w:r>
        <w:rPr>
          <w:rFonts w:hint="eastAsia" w:ascii="仿宋" w:hAnsi="仿宋" w:cs="仿宋"/>
        </w:rPr>
        <w:fldChar w:fldCharType="end"/>
      </w:r>
      <w:r>
        <w:rPr>
          <w:rFonts w:hint="eastAsia" w:ascii="仿宋" w:hAnsi="仿宋" w:cs="仿宋"/>
        </w:rPr>
        <w:fldChar w:fldCharType="end"/>
      </w:r>
    </w:p>
    <w:p>
      <w:pPr>
        <w:pStyle w:val="19"/>
        <w:tabs>
          <w:tab w:val="right" w:leader="dot" w:pos="9629"/>
        </w:tabs>
        <w:ind w:firstLine="480"/>
        <w:rPr>
          <w:rFonts w:ascii="仿宋" w:hAnsi="仿宋" w:cs="仿宋"/>
          <w:sz w:val="21"/>
          <w:szCs w:val="22"/>
        </w:rPr>
      </w:pPr>
      <w:r>
        <w:fldChar w:fldCharType="begin"/>
      </w:r>
      <w:r>
        <w:instrText xml:space="preserve"> HYPERLINK \l "_Toc106784592" </w:instrText>
      </w:r>
      <w:r>
        <w:fldChar w:fldCharType="separate"/>
      </w:r>
      <w:r>
        <w:rPr>
          <w:rStyle w:val="27"/>
          <w:rFonts w:hint="eastAsia" w:ascii="仿宋" w:hAnsi="仿宋" w:cs="仿宋"/>
          <w:b/>
          <w:color w:val="auto"/>
        </w:rPr>
        <w:t>第六部分投标人须知附表</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_Toc106784592 \h </w:instrText>
      </w:r>
      <w:r>
        <w:rPr>
          <w:rFonts w:hint="eastAsia" w:ascii="仿宋" w:hAnsi="仿宋" w:cs="仿宋"/>
        </w:rPr>
        <w:fldChar w:fldCharType="separate"/>
      </w:r>
      <w:r>
        <w:rPr>
          <w:rFonts w:hint="eastAsia" w:ascii="仿宋" w:hAnsi="仿宋" w:cs="仿宋"/>
        </w:rPr>
        <w:t>5</w:t>
      </w:r>
      <w:r>
        <w:rPr>
          <w:rFonts w:hint="eastAsia" w:ascii="仿宋" w:hAnsi="仿宋" w:cs="仿宋"/>
        </w:rPr>
        <w:fldChar w:fldCharType="end"/>
      </w:r>
      <w:r>
        <w:rPr>
          <w:rFonts w:hint="eastAsia" w:ascii="仿宋" w:hAnsi="仿宋" w:cs="仿宋"/>
        </w:rPr>
        <w:fldChar w:fldCharType="end"/>
      </w:r>
    </w:p>
    <w:p>
      <w:pPr>
        <w:pStyle w:val="19"/>
        <w:tabs>
          <w:tab w:val="right" w:leader="dot" w:pos="9629"/>
        </w:tabs>
        <w:ind w:firstLine="480"/>
        <w:rPr>
          <w:rFonts w:ascii="仿宋" w:hAnsi="仿宋" w:cs="仿宋"/>
          <w:sz w:val="21"/>
          <w:szCs w:val="22"/>
        </w:rPr>
      </w:pPr>
      <w:r>
        <w:fldChar w:fldCharType="begin"/>
      </w:r>
      <w:r>
        <w:instrText xml:space="preserve"> HYPERLINK \l "_Toc106784593" </w:instrText>
      </w:r>
      <w:r>
        <w:fldChar w:fldCharType="separate"/>
      </w:r>
      <w:r>
        <w:rPr>
          <w:rStyle w:val="27"/>
          <w:rFonts w:hint="eastAsia" w:ascii="仿宋" w:hAnsi="仿宋" w:cs="仿宋"/>
          <w:b/>
          <w:color w:val="auto"/>
        </w:rPr>
        <w:t>第七部分评标方法和评分细则</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_Toc106784593 \h </w:instrText>
      </w:r>
      <w:r>
        <w:rPr>
          <w:rFonts w:hint="eastAsia" w:ascii="仿宋" w:hAnsi="仿宋" w:cs="仿宋"/>
        </w:rPr>
        <w:fldChar w:fldCharType="separate"/>
      </w:r>
      <w:r>
        <w:rPr>
          <w:rFonts w:hint="eastAsia" w:ascii="仿宋" w:hAnsi="仿宋" w:cs="仿宋"/>
        </w:rPr>
        <w:t>9</w:t>
      </w:r>
      <w:r>
        <w:rPr>
          <w:rFonts w:hint="eastAsia" w:ascii="仿宋" w:hAnsi="仿宋" w:cs="仿宋"/>
        </w:rPr>
        <w:fldChar w:fldCharType="end"/>
      </w:r>
      <w:r>
        <w:rPr>
          <w:rFonts w:hint="eastAsia" w:ascii="仿宋" w:hAnsi="仿宋" w:cs="仿宋"/>
        </w:rPr>
        <w:fldChar w:fldCharType="end"/>
      </w:r>
    </w:p>
    <w:p>
      <w:pPr>
        <w:pStyle w:val="21"/>
        <w:tabs>
          <w:tab w:val="right" w:leader="dot" w:pos="9629"/>
        </w:tabs>
        <w:ind w:left="480" w:firstLine="480"/>
        <w:rPr>
          <w:rFonts w:ascii="仿宋" w:hAnsi="仿宋" w:cs="仿宋"/>
          <w:sz w:val="21"/>
          <w:szCs w:val="22"/>
        </w:rPr>
      </w:pPr>
      <w:r>
        <w:fldChar w:fldCharType="begin"/>
      </w:r>
      <w:r>
        <w:instrText xml:space="preserve"> HYPERLINK \l "_Toc106784594" </w:instrText>
      </w:r>
      <w:r>
        <w:fldChar w:fldCharType="separate"/>
      </w:r>
      <w:r>
        <w:rPr>
          <w:rStyle w:val="27"/>
          <w:rFonts w:hint="eastAsia" w:ascii="仿宋" w:hAnsi="仿宋" w:cs="仿宋"/>
          <w:b/>
          <w:color w:val="auto"/>
        </w:rPr>
        <w:t>一、评标方法</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_Toc106784594 \h </w:instrText>
      </w:r>
      <w:r>
        <w:rPr>
          <w:rFonts w:hint="eastAsia" w:ascii="仿宋" w:hAnsi="仿宋" w:cs="仿宋"/>
        </w:rPr>
        <w:fldChar w:fldCharType="separate"/>
      </w:r>
      <w:r>
        <w:rPr>
          <w:rFonts w:hint="eastAsia" w:ascii="仿宋" w:hAnsi="仿宋" w:cs="仿宋"/>
        </w:rPr>
        <w:t>9</w:t>
      </w:r>
      <w:r>
        <w:rPr>
          <w:rFonts w:hint="eastAsia" w:ascii="仿宋" w:hAnsi="仿宋" w:cs="仿宋"/>
        </w:rPr>
        <w:fldChar w:fldCharType="end"/>
      </w:r>
      <w:r>
        <w:rPr>
          <w:rFonts w:hint="eastAsia" w:ascii="仿宋" w:hAnsi="仿宋" w:cs="仿宋"/>
        </w:rPr>
        <w:fldChar w:fldCharType="end"/>
      </w:r>
    </w:p>
    <w:p>
      <w:pPr>
        <w:pStyle w:val="21"/>
        <w:tabs>
          <w:tab w:val="right" w:leader="dot" w:pos="9629"/>
        </w:tabs>
        <w:ind w:left="480" w:firstLine="480"/>
        <w:rPr>
          <w:rFonts w:ascii="仿宋" w:hAnsi="仿宋" w:cs="仿宋"/>
          <w:sz w:val="21"/>
          <w:szCs w:val="22"/>
        </w:rPr>
      </w:pPr>
      <w:r>
        <w:fldChar w:fldCharType="begin"/>
      </w:r>
      <w:r>
        <w:instrText xml:space="preserve"> HYPERLINK \l "_Toc106784595" </w:instrText>
      </w:r>
      <w:r>
        <w:fldChar w:fldCharType="separate"/>
      </w:r>
      <w:r>
        <w:rPr>
          <w:rStyle w:val="27"/>
          <w:rFonts w:hint="eastAsia" w:ascii="仿宋" w:hAnsi="仿宋" w:cs="仿宋"/>
          <w:b/>
          <w:color w:val="auto"/>
        </w:rPr>
        <w:t>二、评分细则</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_Toc106784595 \h </w:instrText>
      </w:r>
      <w:r>
        <w:rPr>
          <w:rFonts w:hint="eastAsia" w:ascii="仿宋" w:hAnsi="仿宋" w:cs="仿宋"/>
        </w:rPr>
        <w:fldChar w:fldCharType="separate"/>
      </w:r>
      <w:r>
        <w:rPr>
          <w:rFonts w:hint="eastAsia" w:ascii="仿宋" w:hAnsi="仿宋" w:cs="仿宋"/>
        </w:rPr>
        <w:t>9</w:t>
      </w:r>
      <w:r>
        <w:rPr>
          <w:rFonts w:hint="eastAsia" w:ascii="仿宋" w:hAnsi="仿宋" w:cs="仿宋"/>
        </w:rPr>
        <w:fldChar w:fldCharType="end"/>
      </w:r>
      <w:r>
        <w:rPr>
          <w:rFonts w:hint="eastAsia" w:ascii="仿宋" w:hAnsi="仿宋" w:cs="仿宋"/>
        </w:rPr>
        <w:fldChar w:fldCharType="end"/>
      </w:r>
    </w:p>
    <w:p>
      <w:pPr>
        <w:pStyle w:val="21"/>
        <w:tabs>
          <w:tab w:val="right" w:leader="dot" w:pos="9629"/>
        </w:tabs>
        <w:ind w:left="480" w:firstLine="480"/>
        <w:rPr>
          <w:rFonts w:ascii="仿宋" w:hAnsi="仿宋" w:cs="仿宋"/>
          <w:sz w:val="21"/>
          <w:szCs w:val="22"/>
        </w:rPr>
      </w:pPr>
      <w:r>
        <w:fldChar w:fldCharType="begin"/>
      </w:r>
      <w:r>
        <w:instrText xml:space="preserve"> HYPERLINK \l "_Toc106784596" </w:instrText>
      </w:r>
      <w:r>
        <w:fldChar w:fldCharType="separate"/>
      </w:r>
      <w:r>
        <w:rPr>
          <w:rStyle w:val="27"/>
          <w:rFonts w:hint="eastAsia" w:ascii="仿宋" w:hAnsi="仿宋" w:cs="仿宋"/>
          <w:b/>
          <w:color w:val="auto"/>
        </w:rPr>
        <w:t>三、初步审查属于无效投标的条款</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_Toc106784596 \h </w:instrText>
      </w:r>
      <w:r>
        <w:rPr>
          <w:rFonts w:hint="eastAsia" w:ascii="仿宋" w:hAnsi="仿宋" w:cs="仿宋"/>
        </w:rPr>
        <w:fldChar w:fldCharType="separate"/>
      </w:r>
      <w:r>
        <w:rPr>
          <w:rFonts w:hint="eastAsia" w:ascii="仿宋" w:hAnsi="仿宋" w:cs="仿宋"/>
        </w:rPr>
        <w:t>10</w:t>
      </w:r>
      <w:r>
        <w:rPr>
          <w:rFonts w:hint="eastAsia" w:ascii="仿宋" w:hAnsi="仿宋" w:cs="仿宋"/>
        </w:rPr>
        <w:fldChar w:fldCharType="end"/>
      </w:r>
      <w:r>
        <w:rPr>
          <w:rFonts w:hint="eastAsia" w:ascii="仿宋" w:hAnsi="仿宋" w:cs="仿宋"/>
        </w:rPr>
        <w:fldChar w:fldCharType="end"/>
      </w:r>
    </w:p>
    <w:p>
      <w:pPr>
        <w:pStyle w:val="19"/>
        <w:tabs>
          <w:tab w:val="right" w:leader="dot" w:pos="9629"/>
        </w:tabs>
        <w:ind w:firstLine="480"/>
        <w:rPr>
          <w:rFonts w:ascii="仿宋" w:hAnsi="仿宋" w:cs="仿宋"/>
          <w:sz w:val="21"/>
          <w:szCs w:val="22"/>
        </w:rPr>
      </w:pPr>
      <w:r>
        <w:fldChar w:fldCharType="begin"/>
      </w:r>
      <w:r>
        <w:instrText xml:space="preserve"> HYPERLINK \l "_Toc106784597" </w:instrText>
      </w:r>
      <w:r>
        <w:fldChar w:fldCharType="separate"/>
      </w:r>
      <w:r>
        <w:rPr>
          <w:rStyle w:val="27"/>
          <w:rFonts w:hint="eastAsia" w:ascii="仿宋" w:hAnsi="仿宋" w:cs="仿宋"/>
          <w:b/>
          <w:color w:val="auto"/>
        </w:rPr>
        <w:t>第八部分技术要求及说明</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_Toc106784597 \h </w:instrText>
      </w:r>
      <w:r>
        <w:rPr>
          <w:rFonts w:hint="eastAsia" w:ascii="仿宋" w:hAnsi="仿宋" w:cs="仿宋"/>
        </w:rPr>
        <w:fldChar w:fldCharType="separate"/>
      </w:r>
      <w:r>
        <w:rPr>
          <w:rFonts w:hint="eastAsia" w:ascii="仿宋" w:hAnsi="仿宋" w:cs="仿宋"/>
        </w:rPr>
        <w:t>12</w:t>
      </w:r>
      <w:r>
        <w:rPr>
          <w:rFonts w:hint="eastAsia" w:ascii="仿宋" w:hAnsi="仿宋" w:cs="仿宋"/>
        </w:rPr>
        <w:fldChar w:fldCharType="end"/>
      </w:r>
      <w:r>
        <w:rPr>
          <w:rFonts w:hint="eastAsia" w:ascii="仿宋" w:hAnsi="仿宋" w:cs="仿宋"/>
        </w:rPr>
        <w:fldChar w:fldCharType="end"/>
      </w:r>
    </w:p>
    <w:p>
      <w:pPr>
        <w:pStyle w:val="33"/>
        <w:ind w:firstLine="0" w:firstLineChars="0"/>
        <w:rPr>
          <w:rFonts w:ascii="仿宋" w:hAnsi="仿宋" w:cs="仿宋"/>
        </w:rPr>
      </w:pPr>
      <w:r>
        <w:rPr>
          <w:rFonts w:hint="eastAsia" w:ascii="仿宋" w:hAnsi="仿宋" w:cs="仿宋"/>
        </w:rPr>
        <w:fldChar w:fldCharType="end"/>
      </w:r>
    </w:p>
    <w:p>
      <w:pPr>
        <w:pStyle w:val="33"/>
        <w:ind w:firstLine="0" w:firstLineChars="0"/>
        <w:rPr>
          <w:rFonts w:ascii="仿宋" w:hAnsi="仿宋" w:cs="仿宋"/>
        </w:rPr>
      </w:pPr>
    </w:p>
    <w:p>
      <w:pPr>
        <w:pStyle w:val="33"/>
        <w:ind w:firstLine="0" w:firstLineChars="0"/>
        <w:rPr>
          <w:rFonts w:ascii="仿宋" w:hAnsi="仿宋" w:cs="仿宋"/>
        </w:rPr>
      </w:pPr>
    </w:p>
    <w:p>
      <w:pPr>
        <w:pStyle w:val="33"/>
        <w:ind w:firstLine="0" w:firstLineChars="0"/>
        <w:rPr>
          <w:rFonts w:ascii="仿宋" w:hAnsi="仿宋" w:cs="仿宋"/>
        </w:rPr>
      </w:pPr>
    </w:p>
    <w:p>
      <w:pPr>
        <w:widowControl/>
        <w:spacing w:line="240" w:lineRule="auto"/>
        <w:ind w:firstLine="0" w:firstLineChars="0"/>
        <w:rPr>
          <w:rFonts w:ascii="仿宋" w:hAnsi="仿宋" w:cs="仿宋"/>
          <w:b/>
          <w:sz w:val="32"/>
          <w:szCs w:val="32"/>
        </w:rPr>
      </w:pPr>
      <w:r>
        <w:rPr>
          <w:rFonts w:hint="eastAsia" w:ascii="仿宋" w:hAnsi="仿宋" w:cs="仿宋"/>
          <w:b/>
          <w:sz w:val="32"/>
          <w:szCs w:val="32"/>
        </w:rPr>
        <w:br w:type="page"/>
      </w:r>
    </w:p>
    <w:p>
      <w:pPr>
        <w:pStyle w:val="33"/>
        <w:ind w:firstLine="0" w:firstLineChars="0"/>
        <w:jc w:val="center"/>
        <w:outlineLvl w:val="0"/>
        <w:rPr>
          <w:rFonts w:ascii="仿宋" w:hAnsi="仿宋" w:cs="仿宋"/>
          <w:b/>
          <w:sz w:val="32"/>
          <w:szCs w:val="32"/>
        </w:rPr>
      </w:pPr>
      <w:bookmarkStart w:id="1" w:name="_Toc106784591"/>
      <w:r>
        <w:rPr>
          <w:rFonts w:hint="eastAsia" w:ascii="仿宋" w:hAnsi="仿宋" w:cs="仿宋"/>
          <w:b/>
          <w:sz w:val="32"/>
          <w:szCs w:val="32"/>
        </w:rPr>
        <w:t xml:space="preserve"> 第五部分 投标邀请</w:t>
      </w:r>
      <w:bookmarkEnd w:id="0"/>
      <w:bookmarkEnd w:id="1"/>
    </w:p>
    <w:p>
      <w:pPr>
        <w:pStyle w:val="33"/>
        <w:spacing w:line="360" w:lineRule="auto"/>
        <w:ind w:firstLine="480"/>
        <w:rPr>
          <w:rFonts w:ascii="仿宋" w:hAnsi="仿宋" w:cs="仿宋"/>
        </w:rPr>
      </w:pPr>
      <w:r>
        <w:rPr>
          <w:rFonts w:hint="eastAsia" w:ascii="仿宋" w:hAnsi="仿宋" w:cs="仿宋"/>
        </w:rPr>
        <w:t>山东华仁永旺招标有限公司（以下简称采购代理机构）受山东第一医科大学（山东省医学科学院）的委托，对“</w:t>
      </w:r>
      <w:r>
        <w:rPr>
          <w:rFonts w:hint="eastAsia" w:ascii="仿宋" w:hAnsi="仿宋" w:cs="仿宋"/>
          <w:bCs/>
        </w:rPr>
        <w:t>山东第一医科大学（山东省医学科学院）</w:t>
      </w:r>
      <w:r>
        <w:rPr>
          <w:rFonts w:hint="eastAsia" w:ascii="仿宋" w:hAnsi="仿宋" w:cs="仿宋"/>
          <w:bCs/>
          <w:lang w:eastAsia="zh-CN"/>
        </w:rPr>
        <w:t>科教融合多组学引导肿瘤精准放射治疗关键技术研究设备购置（二次）</w:t>
      </w:r>
      <w:r>
        <w:rPr>
          <w:rFonts w:hint="eastAsia" w:ascii="仿宋" w:hAnsi="仿宋" w:cs="仿宋"/>
        </w:rPr>
        <w:t>”货物及其他相关服务进行国内公开招标，欢迎符合条件的合格投标人参与投标。</w:t>
      </w:r>
    </w:p>
    <w:p>
      <w:pPr>
        <w:pStyle w:val="33"/>
        <w:spacing w:line="360" w:lineRule="auto"/>
        <w:ind w:firstLine="482"/>
        <w:rPr>
          <w:rFonts w:ascii="仿宋" w:hAnsi="仿宋" w:cs="仿宋"/>
          <w:b/>
        </w:rPr>
      </w:pPr>
      <w:r>
        <w:rPr>
          <w:rFonts w:hint="eastAsia" w:ascii="仿宋" w:hAnsi="仿宋" w:cs="仿宋"/>
          <w:b/>
        </w:rPr>
        <w:t>一、项目名称及编号</w:t>
      </w:r>
    </w:p>
    <w:p>
      <w:pPr>
        <w:pStyle w:val="33"/>
        <w:spacing w:line="360" w:lineRule="auto"/>
        <w:ind w:firstLine="480"/>
        <w:rPr>
          <w:rFonts w:hint="eastAsia" w:ascii="仿宋" w:hAnsi="仿宋" w:eastAsia="仿宋" w:cs="仿宋"/>
          <w:lang w:eastAsia="zh-CN"/>
        </w:rPr>
      </w:pPr>
      <w:r>
        <w:rPr>
          <w:rFonts w:hint="eastAsia" w:ascii="仿宋" w:hAnsi="仿宋" w:cs="仿宋"/>
        </w:rPr>
        <w:t>项目名称：</w:t>
      </w:r>
      <w:r>
        <w:rPr>
          <w:rFonts w:hint="eastAsia" w:ascii="仿宋" w:hAnsi="仿宋" w:cs="仿宋"/>
          <w:bCs/>
        </w:rPr>
        <w:t>山东第一医科大学（山东省医学科学院）</w:t>
      </w:r>
      <w:r>
        <w:rPr>
          <w:rFonts w:hint="eastAsia" w:ascii="仿宋" w:hAnsi="仿宋" w:cs="仿宋"/>
          <w:bCs/>
          <w:lang w:eastAsia="zh-CN"/>
        </w:rPr>
        <w:t>科教融合多组学引导肿瘤精准放射治疗关键技术研究设备购置（二次）</w:t>
      </w:r>
    </w:p>
    <w:p>
      <w:pPr>
        <w:pStyle w:val="33"/>
        <w:spacing w:line="360" w:lineRule="auto"/>
        <w:ind w:firstLine="480"/>
        <w:rPr>
          <w:rFonts w:ascii="仿宋" w:hAnsi="仿宋" w:cs="仿宋"/>
        </w:rPr>
      </w:pPr>
      <w:r>
        <w:rPr>
          <w:rFonts w:hint="eastAsia" w:ascii="仿宋" w:hAnsi="仿宋" w:cs="仿宋"/>
        </w:rPr>
        <w:t>项目编号：SDGP370000000202302003973/sdhryw2023120</w:t>
      </w:r>
    </w:p>
    <w:p>
      <w:pPr>
        <w:pStyle w:val="33"/>
        <w:spacing w:line="360" w:lineRule="auto"/>
        <w:ind w:firstLine="482"/>
        <w:rPr>
          <w:rFonts w:ascii="仿宋" w:hAnsi="仿宋" w:cs="仿宋"/>
          <w:b/>
        </w:rPr>
      </w:pPr>
      <w:r>
        <w:rPr>
          <w:rFonts w:hint="eastAsia" w:ascii="仿宋" w:hAnsi="仿宋" w:cs="仿宋"/>
          <w:b/>
        </w:rPr>
        <w:t>二、采购内容及分包</w:t>
      </w:r>
    </w:p>
    <w:p>
      <w:pPr>
        <w:pStyle w:val="33"/>
        <w:spacing w:line="360" w:lineRule="auto"/>
        <w:ind w:firstLine="480"/>
        <w:rPr>
          <w:rFonts w:ascii="仿宋" w:hAnsi="仿宋" w:cs="仿宋"/>
        </w:rPr>
      </w:pPr>
      <w:r>
        <w:rPr>
          <w:rFonts w:hint="eastAsia" w:ascii="仿宋" w:hAnsi="仿宋" w:cs="仿宋"/>
        </w:rPr>
        <w:t>1、采购内容：</w:t>
      </w:r>
      <w:r>
        <w:rPr>
          <w:rFonts w:hint="eastAsia" w:ascii="仿宋" w:hAnsi="仿宋" w:cs="仿宋"/>
          <w:bCs/>
        </w:rPr>
        <w:t>山东第一医科大学（山东省医学科学院）</w:t>
      </w:r>
      <w:r>
        <w:rPr>
          <w:rFonts w:hint="eastAsia" w:ascii="仿宋" w:hAnsi="仿宋" w:cs="仿宋"/>
          <w:bCs/>
          <w:lang w:eastAsia="zh-CN"/>
        </w:rPr>
        <w:t>科教融合多组学引导肿瘤精准放射治疗关键技术研究设备购置（二次）</w:t>
      </w:r>
      <w:r>
        <w:rPr>
          <w:rFonts w:hint="eastAsia" w:ascii="仿宋" w:hAnsi="仿宋" w:cs="仿宋"/>
        </w:rPr>
        <w:t>，包括拟采购设备的供货、运输、安装调试及售后服务等。</w:t>
      </w:r>
    </w:p>
    <w:p>
      <w:pPr>
        <w:pStyle w:val="33"/>
        <w:spacing w:line="360" w:lineRule="auto"/>
        <w:ind w:firstLine="480"/>
        <w:rPr>
          <w:rFonts w:ascii="仿宋" w:hAnsi="仿宋" w:cs="仿宋"/>
        </w:rPr>
      </w:pPr>
      <w:r>
        <w:rPr>
          <w:rFonts w:hint="eastAsia" w:ascii="仿宋" w:hAnsi="仿宋" w:cs="仿宋"/>
        </w:rPr>
        <w:t>2、分包情况：共1个包，</w:t>
      </w:r>
      <w:r>
        <w:rPr>
          <w:rFonts w:hint="eastAsia" w:ascii="仿宋" w:hAnsi="仿宋" w:cs="仿宋"/>
          <w:bCs/>
          <w:szCs w:val="24"/>
        </w:rPr>
        <w:t>分包内不允许拆包后投标</w:t>
      </w:r>
      <w:r>
        <w:rPr>
          <w:rFonts w:hint="eastAsia" w:ascii="仿宋" w:hAnsi="仿宋" w:cs="仿宋"/>
        </w:rPr>
        <w:t>。具体分包及技术、服务要求详见“第八部分技术要求及说明”。</w:t>
      </w:r>
    </w:p>
    <w:tbl>
      <w:tblPr>
        <w:tblStyle w:val="23"/>
        <w:tblpPr w:leftFromText="180" w:rightFromText="180" w:vertAnchor="text" w:horzAnchor="page" w:tblpXSpec="center" w:tblpY="254"/>
        <w:tblOverlap w:val="never"/>
        <w:tblW w:w="56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3"/>
        <w:gridCol w:w="1891"/>
        <w:gridCol w:w="1687"/>
        <w:gridCol w:w="1891"/>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51" w:type="pct"/>
            <w:vAlign w:val="center"/>
          </w:tcPr>
          <w:p>
            <w:pPr>
              <w:ind w:right="240" w:firstLine="0" w:firstLineChars="0"/>
              <w:jc w:val="center"/>
              <w:rPr>
                <w:rFonts w:ascii="仿宋" w:hAnsi="仿宋" w:cs="仿宋"/>
                <w:szCs w:val="24"/>
              </w:rPr>
            </w:pPr>
            <w:r>
              <w:rPr>
                <w:rFonts w:hint="eastAsia" w:ascii="仿宋" w:hAnsi="仿宋" w:cs="仿宋"/>
                <w:szCs w:val="24"/>
              </w:rPr>
              <w:t>包号</w:t>
            </w:r>
          </w:p>
        </w:tc>
        <w:tc>
          <w:tcPr>
            <w:tcW w:w="871" w:type="pct"/>
            <w:vAlign w:val="center"/>
          </w:tcPr>
          <w:p>
            <w:pPr>
              <w:ind w:firstLine="0" w:firstLineChars="0"/>
              <w:jc w:val="center"/>
              <w:rPr>
                <w:rFonts w:ascii="仿宋" w:hAnsi="仿宋" w:cs="仿宋"/>
                <w:szCs w:val="24"/>
              </w:rPr>
            </w:pPr>
            <w:r>
              <w:rPr>
                <w:rFonts w:hint="eastAsia" w:ascii="仿宋" w:hAnsi="仿宋" w:cs="仿宋"/>
                <w:szCs w:val="24"/>
              </w:rPr>
              <w:t>货物名称</w:t>
            </w:r>
          </w:p>
        </w:tc>
        <w:tc>
          <w:tcPr>
            <w:tcW w:w="777" w:type="pct"/>
            <w:vAlign w:val="center"/>
          </w:tcPr>
          <w:p>
            <w:pPr>
              <w:ind w:firstLine="0" w:firstLineChars="0"/>
              <w:jc w:val="center"/>
              <w:rPr>
                <w:rFonts w:ascii="仿宋" w:hAnsi="仿宋" w:cs="仿宋"/>
                <w:szCs w:val="24"/>
              </w:rPr>
            </w:pPr>
            <w:r>
              <w:rPr>
                <w:rFonts w:hint="eastAsia" w:ascii="仿宋" w:hAnsi="仿宋" w:cs="仿宋"/>
                <w:szCs w:val="24"/>
              </w:rPr>
              <w:t>数量（宗）</w:t>
            </w:r>
          </w:p>
        </w:tc>
        <w:tc>
          <w:tcPr>
            <w:tcW w:w="871" w:type="pct"/>
            <w:vAlign w:val="center"/>
          </w:tcPr>
          <w:p>
            <w:pPr>
              <w:ind w:firstLine="0" w:firstLineChars="0"/>
              <w:jc w:val="center"/>
              <w:rPr>
                <w:rFonts w:ascii="仿宋" w:hAnsi="仿宋" w:cs="仿宋"/>
                <w:szCs w:val="24"/>
              </w:rPr>
            </w:pPr>
            <w:r>
              <w:rPr>
                <w:rFonts w:hint="eastAsia" w:ascii="仿宋" w:hAnsi="仿宋" w:cs="仿宋"/>
                <w:szCs w:val="24"/>
              </w:rPr>
              <w:t>预算（万元）</w:t>
            </w:r>
          </w:p>
        </w:tc>
        <w:tc>
          <w:tcPr>
            <w:tcW w:w="2128" w:type="pct"/>
            <w:vAlign w:val="center"/>
          </w:tcPr>
          <w:p>
            <w:pPr>
              <w:ind w:firstLine="480"/>
              <w:jc w:val="center"/>
              <w:rPr>
                <w:rFonts w:ascii="仿宋" w:hAnsi="仿宋" w:cs="仿宋"/>
                <w:szCs w:val="24"/>
              </w:rPr>
            </w:pPr>
            <w:r>
              <w:rPr>
                <w:rFonts w:hint="eastAsia" w:ascii="仿宋" w:hAnsi="仿宋" w:cs="仿宋"/>
                <w:szCs w:val="24"/>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98" w:hRule="atLeast"/>
          <w:jc w:val="center"/>
        </w:trPr>
        <w:tc>
          <w:tcPr>
            <w:tcW w:w="351" w:type="pct"/>
            <w:vAlign w:val="center"/>
          </w:tcPr>
          <w:p>
            <w:pPr>
              <w:ind w:firstLine="0" w:firstLineChars="0"/>
              <w:jc w:val="center"/>
              <w:rPr>
                <w:rFonts w:ascii="仿宋" w:hAnsi="仿宋" w:cs="仿宋"/>
                <w:szCs w:val="24"/>
              </w:rPr>
            </w:pPr>
            <w:r>
              <w:rPr>
                <w:rFonts w:hint="eastAsia" w:ascii="仿宋" w:hAnsi="仿宋" w:cs="仿宋"/>
                <w:szCs w:val="24"/>
              </w:rPr>
              <w:t>A</w:t>
            </w:r>
          </w:p>
        </w:tc>
        <w:tc>
          <w:tcPr>
            <w:tcW w:w="871" w:type="pct"/>
            <w:vAlign w:val="center"/>
          </w:tcPr>
          <w:p>
            <w:pPr>
              <w:ind w:firstLine="0" w:firstLineChars="0"/>
              <w:rPr>
                <w:rFonts w:ascii="仿宋" w:hAnsi="仿宋" w:cs="仿宋"/>
                <w:szCs w:val="24"/>
              </w:rPr>
            </w:pPr>
            <w:r>
              <w:rPr>
                <w:rFonts w:hint="eastAsia" w:ascii="仿宋" w:hAnsi="仿宋" w:cs="仿宋"/>
                <w:color w:val="000000"/>
                <w:kern w:val="0"/>
                <w:szCs w:val="24"/>
                <w:lang w:bidi="ar"/>
              </w:rPr>
              <w:t>人工智能GPU计算系统等</w:t>
            </w:r>
          </w:p>
        </w:tc>
        <w:tc>
          <w:tcPr>
            <w:tcW w:w="777"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详见技术参数</w:t>
            </w:r>
          </w:p>
        </w:tc>
        <w:tc>
          <w:tcPr>
            <w:tcW w:w="871"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 xml:space="preserve"> 128</w:t>
            </w:r>
          </w:p>
        </w:tc>
        <w:tc>
          <w:tcPr>
            <w:tcW w:w="2128" w:type="pct"/>
            <w:vAlign w:val="center"/>
          </w:tcPr>
          <w:p>
            <w:pPr>
              <w:ind w:firstLine="0" w:firstLineChars="0"/>
              <w:rPr>
                <w:rFonts w:ascii="仿宋" w:hAnsi="仿宋" w:cs="仿宋"/>
                <w:szCs w:val="24"/>
              </w:rPr>
            </w:pPr>
            <w:r>
              <w:rPr>
                <w:rFonts w:hint="eastAsia" w:ascii="仿宋" w:hAnsi="仿宋" w:cs="仿宋"/>
                <w:szCs w:val="24"/>
              </w:rPr>
              <w:t>1、符合《中华人民共和国政府采购法》第二十二条规定；2、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3、本项目不接受联合体投标。</w:t>
            </w:r>
          </w:p>
        </w:tc>
      </w:tr>
    </w:tbl>
    <w:p>
      <w:pPr>
        <w:pStyle w:val="33"/>
        <w:spacing w:line="360" w:lineRule="auto"/>
        <w:ind w:firstLine="482"/>
        <w:rPr>
          <w:rFonts w:ascii="仿宋" w:hAnsi="仿宋" w:cs="仿宋"/>
          <w:b/>
        </w:rPr>
      </w:pPr>
      <w:r>
        <w:rPr>
          <w:rFonts w:hint="eastAsia" w:ascii="仿宋" w:hAnsi="仿宋" w:cs="仿宋"/>
          <w:b/>
        </w:rPr>
        <w:t>三、招标文件发售的时间、地点、售价及方式</w:t>
      </w:r>
    </w:p>
    <w:p>
      <w:pPr>
        <w:pStyle w:val="33"/>
        <w:spacing w:line="360" w:lineRule="auto"/>
        <w:ind w:firstLine="480"/>
        <w:rPr>
          <w:rFonts w:ascii="仿宋" w:hAnsi="仿宋" w:cs="仿宋"/>
        </w:rPr>
      </w:pPr>
      <w:r>
        <w:rPr>
          <w:rFonts w:hint="eastAsia" w:ascii="仿宋" w:hAnsi="仿宋" w:cs="仿宋"/>
        </w:rPr>
        <w:t>1、时间：2023年</w:t>
      </w:r>
      <w:r>
        <w:rPr>
          <w:rFonts w:hint="eastAsia" w:ascii="仿宋" w:hAnsi="仿宋" w:cs="仿宋"/>
          <w:lang w:val="en-US" w:eastAsia="zh-CN"/>
        </w:rPr>
        <w:t>7</w:t>
      </w:r>
      <w:r>
        <w:rPr>
          <w:rFonts w:hint="eastAsia" w:ascii="仿宋" w:hAnsi="仿宋" w:cs="仿宋"/>
        </w:rPr>
        <w:t>月</w:t>
      </w:r>
      <w:r>
        <w:rPr>
          <w:rFonts w:hint="eastAsia" w:ascii="仿宋" w:hAnsi="仿宋" w:cs="仿宋"/>
          <w:lang w:val="en-US" w:eastAsia="zh-CN"/>
        </w:rPr>
        <w:t>11</w:t>
      </w:r>
      <w:r>
        <w:rPr>
          <w:rFonts w:hint="eastAsia" w:ascii="仿宋" w:hAnsi="仿宋" w:cs="仿宋"/>
        </w:rPr>
        <w:t>日至2023年</w:t>
      </w:r>
      <w:r>
        <w:rPr>
          <w:rFonts w:hint="eastAsia" w:ascii="仿宋" w:hAnsi="仿宋" w:cs="仿宋"/>
          <w:lang w:val="en-US" w:eastAsia="zh-CN"/>
        </w:rPr>
        <w:t>7</w:t>
      </w:r>
      <w:r>
        <w:rPr>
          <w:rFonts w:hint="eastAsia" w:ascii="仿宋" w:hAnsi="仿宋" w:cs="仿宋"/>
        </w:rPr>
        <w:t>月</w:t>
      </w:r>
      <w:r>
        <w:rPr>
          <w:rFonts w:hint="eastAsia" w:ascii="仿宋" w:hAnsi="仿宋" w:cs="仿宋"/>
          <w:lang w:val="en-US" w:eastAsia="zh-CN"/>
        </w:rPr>
        <w:t>17</w:t>
      </w:r>
      <w:r>
        <w:rPr>
          <w:rFonts w:hint="eastAsia" w:ascii="仿宋" w:hAnsi="仿宋" w:cs="仿宋"/>
        </w:rPr>
        <w:t>日，每天8:30-12:00、13:30-16:30（节假日除外）。</w:t>
      </w:r>
    </w:p>
    <w:p>
      <w:pPr>
        <w:pStyle w:val="33"/>
        <w:spacing w:line="360" w:lineRule="auto"/>
        <w:ind w:firstLine="480"/>
        <w:rPr>
          <w:rFonts w:ascii="仿宋" w:hAnsi="仿宋" w:cs="仿宋"/>
        </w:rPr>
      </w:pPr>
      <w:r>
        <w:rPr>
          <w:rFonts w:hint="eastAsia" w:ascii="仿宋" w:hAnsi="仿宋" w:cs="仿宋"/>
        </w:rPr>
        <w:t>2、地点：济南市历下区经十路13777号中润世纪广场18号楼603(山东华仁永旺招标有限公司)。</w:t>
      </w:r>
    </w:p>
    <w:p>
      <w:pPr>
        <w:widowControl/>
        <w:spacing w:line="480" w:lineRule="exact"/>
        <w:ind w:firstLine="480"/>
        <w:rPr>
          <w:rFonts w:ascii="仿宋" w:hAnsi="仿宋" w:cs="仿宋"/>
        </w:rPr>
      </w:pPr>
      <w:r>
        <w:rPr>
          <w:rFonts w:hint="eastAsia" w:ascii="仿宋" w:hAnsi="仿宋" w:cs="仿宋"/>
        </w:rPr>
        <w:t>3、报名备案登记方式：凡有意参加本次政府采购的供应商必须在中国山东政府采购网（http://www.ccgp-shandong.gov.cn）进行注册并报名，网站报名成功后携带营业执照复印件、授权委托书（格式自拟）等材料盖章前来招标代理机构现场报名或邮箱报名（联系电话：19861051518，邮箱sdhryw@126.com）：上述资料扫描件及对公汇款截图、联系人、联系电话发至邮箱（</w:t>
      </w:r>
      <w:r>
        <w:rPr>
          <w:rFonts w:hint="eastAsia" w:ascii="仿宋" w:hAnsi="仿宋" w:cs="仿宋"/>
          <w:b/>
          <w:bCs/>
        </w:rPr>
        <w:t>报名费转账必须公对公转账并备注23-120报名费+包号</w:t>
      </w:r>
      <w:r>
        <w:rPr>
          <w:rFonts w:hint="eastAsia" w:ascii="仿宋" w:hAnsi="仿宋" w:cs="仿宋"/>
        </w:rPr>
        <w:t>开户单位：山东华仁永旺招标有限公司，开户银行：中国工商银行济南高新支行，帐号：1602023609200296250）。投标报名时的资料查验不代表资格审查的最终通过或合格，投标人最终资格的确认以评审小组的资格后审为准。标书售出不退。招标文件售价：</w:t>
      </w:r>
      <w:r>
        <w:rPr>
          <w:rFonts w:hint="eastAsia" w:ascii="仿宋" w:hAnsi="仿宋" w:cs="仿宋"/>
          <w:lang w:val="en-US" w:eastAsia="zh-CN"/>
        </w:rPr>
        <w:t>4</w:t>
      </w:r>
      <w:r>
        <w:rPr>
          <w:rFonts w:hint="eastAsia" w:ascii="仿宋" w:hAnsi="仿宋" w:cs="仿宋"/>
        </w:rPr>
        <w:t>00 元/包</w:t>
      </w:r>
    </w:p>
    <w:p>
      <w:pPr>
        <w:ind w:firstLine="480"/>
        <w:rPr>
          <w:rFonts w:ascii="仿宋" w:hAnsi="仿宋" w:cs="仿宋"/>
        </w:rPr>
      </w:pPr>
      <w:r>
        <w:rPr>
          <w:rFonts w:hint="eastAsia" w:ascii="仿宋" w:hAnsi="仿宋" w:cs="仿宋"/>
        </w:rPr>
        <w:t>4、地点：济南市历下区经十路13777号中润世纪广场18号楼603</w:t>
      </w:r>
    </w:p>
    <w:p>
      <w:pPr>
        <w:pStyle w:val="33"/>
        <w:spacing w:line="360" w:lineRule="auto"/>
        <w:ind w:firstLine="482"/>
        <w:rPr>
          <w:rFonts w:ascii="仿宋" w:hAnsi="仿宋" w:cs="仿宋"/>
          <w:b/>
        </w:rPr>
      </w:pPr>
      <w:r>
        <w:rPr>
          <w:rFonts w:hint="eastAsia" w:ascii="仿宋" w:hAnsi="仿宋" w:cs="仿宋"/>
          <w:b/>
        </w:rPr>
        <w:t>四、投标文件的递交</w:t>
      </w:r>
    </w:p>
    <w:p>
      <w:pPr>
        <w:pStyle w:val="33"/>
        <w:spacing w:line="360" w:lineRule="auto"/>
        <w:ind w:firstLine="480"/>
        <w:rPr>
          <w:rFonts w:ascii="仿宋" w:hAnsi="仿宋" w:cs="仿宋"/>
        </w:rPr>
      </w:pPr>
      <w:r>
        <w:rPr>
          <w:rFonts w:hint="eastAsia" w:ascii="仿宋" w:hAnsi="仿宋" w:cs="仿宋"/>
        </w:rPr>
        <w:t>1、递交投标文件时间：2023年</w:t>
      </w:r>
      <w:r>
        <w:rPr>
          <w:rFonts w:hint="eastAsia" w:ascii="仿宋" w:hAnsi="仿宋" w:cs="仿宋"/>
          <w:lang w:val="en-US" w:eastAsia="zh-CN"/>
        </w:rPr>
        <w:t>8</w:t>
      </w:r>
      <w:r>
        <w:rPr>
          <w:rFonts w:hint="eastAsia" w:ascii="仿宋" w:hAnsi="仿宋" w:cs="仿宋"/>
        </w:rPr>
        <w:t>月</w:t>
      </w:r>
      <w:r>
        <w:rPr>
          <w:rFonts w:hint="eastAsia" w:ascii="仿宋" w:hAnsi="仿宋" w:cs="仿宋"/>
          <w:lang w:val="en-US" w:eastAsia="zh-CN"/>
        </w:rPr>
        <w:t>2</w:t>
      </w:r>
      <w:r>
        <w:rPr>
          <w:rFonts w:hint="eastAsia" w:ascii="仿宋" w:hAnsi="仿宋" w:cs="仿宋"/>
        </w:rPr>
        <w:t>日08:30-09:00（北京时间）。</w:t>
      </w:r>
    </w:p>
    <w:p>
      <w:pPr>
        <w:pStyle w:val="33"/>
        <w:spacing w:line="360" w:lineRule="auto"/>
        <w:ind w:firstLine="480"/>
        <w:rPr>
          <w:rFonts w:ascii="仿宋" w:hAnsi="仿宋" w:cs="仿宋"/>
        </w:rPr>
      </w:pPr>
      <w:r>
        <w:rPr>
          <w:rFonts w:hint="eastAsia" w:ascii="仿宋" w:hAnsi="仿宋" w:cs="仿宋"/>
        </w:rPr>
        <w:t>2、递交投标文件截止时间和开标时间：2023年</w:t>
      </w:r>
      <w:r>
        <w:rPr>
          <w:rFonts w:hint="eastAsia" w:ascii="仿宋" w:hAnsi="仿宋" w:cs="仿宋"/>
          <w:lang w:val="en-US" w:eastAsia="zh-CN"/>
        </w:rPr>
        <w:t>8</w:t>
      </w:r>
      <w:r>
        <w:rPr>
          <w:rFonts w:hint="eastAsia" w:ascii="仿宋" w:hAnsi="仿宋" w:cs="仿宋"/>
        </w:rPr>
        <w:t>月</w:t>
      </w:r>
      <w:r>
        <w:rPr>
          <w:rFonts w:hint="eastAsia" w:ascii="仿宋" w:hAnsi="仿宋" w:cs="仿宋"/>
          <w:lang w:val="en-US" w:eastAsia="zh-CN"/>
        </w:rPr>
        <w:t>2</w:t>
      </w:r>
      <w:r>
        <w:rPr>
          <w:rFonts w:hint="eastAsia" w:ascii="仿宋" w:hAnsi="仿宋" w:cs="仿宋"/>
        </w:rPr>
        <w:t>日09:00（北京时间），逾期递交的投标文件不予接受。</w:t>
      </w:r>
    </w:p>
    <w:p>
      <w:pPr>
        <w:pStyle w:val="33"/>
        <w:spacing w:line="360" w:lineRule="auto"/>
        <w:ind w:firstLine="480"/>
        <w:rPr>
          <w:rFonts w:ascii="仿宋" w:hAnsi="仿宋" w:cs="仿宋"/>
        </w:rPr>
      </w:pPr>
      <w:r>
        <w:rPr>
          <w:rFonts w:hint="eastAsia" w:ascii="仿宋" w:hAnsi="仿宋" w:cs="仿宋"/>
        </w:rPr>
        <w:t>3、递交投标文件和开标地点：</w:t>
      </w:r>
      <w:r>
        <w:rPr>
          <w:rFonts w:hint="eastAsia" w:ascii="仿宋" w:hAnsi="仿宋" w:cs="仿宋"/>
          <w:kern w:val="0"/>
        </w:rPr>
        <w:t>山东省济南市历下区经十路13777号中润世纪广场18号楼603</w:t>
      </w:r>
    </w:p>
    <w:p>
      <w:pPr>
        <w:pStyle w:val="33"/>
        <w:spacing w:line="360" w:lineRule="auto"/>
        <w:ind w:firstLine="482"/>
        <w:rPr>
          <w:rFonts w:ascii="仿宋" w:hAnsi="仿宋" w:cs="仿宋"/>
          <w:b/>
        </w:rPr>
      </w:pPr>
      <w:r>
        <w:rPr>
          <w:rFonts w:hint="eastAsia" w:ascii="仿宋" w:hAnsi="仿宋" w:cs="仿宋"/>
          <w:b/>
        </w:rPr>
        <w:t>五、采购人信息</w:t>
      </w:r>
    </w:p>
    <w:p>
      <w:pPr>
        <w:pStyle w:val="33"/>
        <w:spacing w:line="360" w:lineRule="auto"/>
        <w:ind w:firstLine="480"/>
        <w:rPr>
          <w:rFonts w:ascii="仿宋" w:hAnsi="仿宋" w:cs="仿宋"/>
        </w:rPr>
      </w:pPr>
      <w:r>
        <w:rPr>
          <w:rFonts w:hint="eastAsia" w:ascii="仿宋" w:hAnsi="仿宋" w:cs="仿宋"/>
        </w:rPr>
        <w:t>1、名称：山东第一医科大学（山东省医学科学院）</w:t>
      </w:r>
    </w:p>
    <w:p>
      <w:pPr>
        <w:pStyle w:val="33"/>
        <w:spacing w:line="360" w:lineRule="auto"/>
        <w:ind w:firstLine="482"/>
        <w:rPr>
          <w:rFonts w:ascii="仿宋" w:hAnsi="仿宋" w:cs="仿宋"/>
          <w:b/>
        </w:rPr>
      </w:pPr>
      <w:r>
        <w:rPr>
          <w:rFonts w:hint="eastAsia" w:ascii="仿宋" w:hAnsi="仿宋" w:cs="仿宋"/>
          <w:b/>
        </w:rPr>
        <w:t>六、采购代理机构信息</w:t>
      </w:r>
    </w:p>
    <w:p>
      <w:pPr>
        <w:pStyle w:val="33"/>
        <w:spacing w:line="480" w:lineRule="auto"/>
        <w:ind w:firstLine="480"/>
        <w:rPr>
          <w:rFonts w:ascii="仿宋" w:hAnsi="仿宋" w:cs="仿宋"/>
        </w:rPr>
      </w:pPr>
      <w:r>
        <w:rPr>
          <w:rFonts w:hint="eastAsia" w:ascii="仿宋" w:hAnsi="仿宋" w:cs="仿宋"/>
        </w:rPr>
        <w:t>1、名称：山东华仁永旺招标有限公司</w:t>
      </w:r>
    </w:p>
    <w:p>
      <w:pPr>
        <w:spacing w:line="480" w:lineRule="auto"/>
        <w:ind w:firstLine="480"/>
        <w:rPr>
          <w:rFonts w:ascii="仿宋" w:hAnsi="仿宋" w:cs="仿宋"/>
        </w:rPr>
      </w:pPr>
      <w:r>
        <w:rPr>
          <w:rFonts w:hint="eastAsia" w:ascii="仿宋" w:hAnsi="仿宋" w:cs="仿宋"/>
        </w:rPr>
        <w:t>2、地址：济南市历下区经十路13777号中润世纪广场18号楼603</w:t>
      </w:r>
    </w:p>
    <w:p>
      <w:pPr>
        <w:pStyle w:val="33"/>
        <w:spacing w:line="480" w:lineRule="auto"/>
        <w:ind w:firstLine="480"/>
        <w:rPr>
          <w:rFonts w:ascii="仿宋" w:hAnsi="仿宋" w:cs="仿宋"/>
        </w:rPr>
      </w:pPr>
      <w:r>
        <w:rPr>
          <w:rFonts w:hint="eastAsia" w:ascii="仿宋" w:hAnsi="仿宋" w:cs="仿宋"/>
        </w:rPr>
        <w:t>3、项目联系人：于美玲、葛东银</w:t>
      </w:r>
    </w:p>
    <w:p>
      <w:pPr>
        <w:pStyle w:val="33"/>
        <w:spacing w:line="480" w:lineRule="auto"/>
        <w:ind w:firstLine="480"/>
        <w:rPr>
          <w:rFonts w:ascii="仿宋" w:hAnsi="仿宋" w:cs="仿宋"/>
        </w:rPr>
      </w:pPr>
      <w:r>
        <w:rPr>
          <w:rFonts w:hint="eastAsia" w:ascii="仿宋" w:hAnsi="仿宋" w:cs="仿宋"/>
        </w:rPr>
        <w:t>4、联系电话：19861051518、15650010801</w:t>
      </w:r>
    </w:p>
    <w:p>
      <w:pPr>
        <w:pStyle w:val="33"/>
        <w:ind w:firstLine="0" w:firstLineChars="0"/>
        <w:rPr>
          <w:rFonts w:ascii="仿宋" w:hAnsi="仿宋" w:cs="仿宋"/>
        </w:rPr>
      </w:pPr>
    </w:p>
    <w:p>
      <w:pPr>
        <w:pStyle w:val="33"/>
        <w:ind w:firstLine="0" w:firstLineChars="0"/>
        <w:rPr>
          <w:rFonts w:ascii="仿宋" w:hAnsi="仿宋" w:cs="仿宋"/>
        </w:rPr>
      </w:pPr>
    </w:p>
    <w:p>
      <w:pPr>
        <w:pStyle w:val="33"/>
        <w:ind w:firstLine="0" w:firstLineChars="0"/>
        <w:rPr>
          <w:rFonts w:ascii="仿宋" w:hAnsi="仿宋" w:cs="仿宋"/>
        </w:rPr>
      </w:pPr>
    </w:p>
    <w:p>
      <w:pPr>
        <w:pStyle w:val="33"/>
        <w:ind w:firstLine="0" w:firstLineChars="0"/>
        <w:rPr>
          <w:rFonts w:ascii="仿宋" w:hAnsi="仿宋" w:cs="仿宋"/>
        </w:rPr>
      </w:pPr>
    </w:p>
    <w:p>
      <w:pPr>
        <w:ind w:firstLine="0" w:firstLineChars="0"/>
        <w:jc w:val="center"/>
        <w:rPr>
          <w:rFonts w:ascii="仿宋" w:hAnsi="仿宋" w:cs="仿宋"/>
          <w:b/>
          <w:sz w:val="32"/>
          <w:szCs w:val="32"/>
        </w:rPr>
      </w:pPr>
      <w:bookmarkStart w:id="2" w:name="_Toc69110203"/>
      <w:bookmarkStart w:id="3" w:name="_Toc106784519"/>
      <w:bookmarkStart w:id="4" w:name="_Toc106784592"/>
    </w:p>
    <w:p>
      <w:pPr>
        <w:ind w:firstLine="0" w:firstLineChars="0"/>
        <w:jc w:val="center"/>
        <w:rPr>
          <w:rFonts w:ascii="仿宋" w:hAnsi="仿宋" w:cs="仿宋"/>
          <w:b/>
          <w:sz w:val="32"/>
          <w:szCs w:val="32"/>
        </w:rPr>
      </w:pPr>
    </w:p>
    <w:p>
      <w:pPr>
        <w:ind w:firstLine="0" w:firstLineChars="0"/>
        <w:jc w:val="center"/>
        <w:rPr>
          <w:rFonts w:ascii="仿宋" w:hAnsi="仿宋" w:cs="仿宋"/>
          <w:b/>
          <w:sz w:val="32"/>
          <w:szCs w:val="32"/>
        </w:rPr>
      </w:pPr>
    </w:p>
    <w:p>
      <w:pPr>
        <w:ind w:firstLine="0" w:firstLineChars="0"/>
        <w:jc w:val="center"/>
        <w:rPr>
          <w:rFonts w:ascii="仿宋" w:hAnsi="仿宋" w:cs="仿宋"/>
          <w:b/>
          <w:sz w:val="32"/>
          <w:szCs w:val="32"/>
        </w:rPr>
      </w:pPr>
      <w:r>
        <w:rPr>
          <w:rFonts w:hint="eastAsia" w:ascii="仿宋" w:hAnsi="仿宋" w:cs="仿宋"/>
          <w:b/>
          <w:sz w:val="32"/>
          <w:szCs w:val="32"/>
        </w:rPr>
        <w:t>第六部分投标人须知附表</w:t>
      </w:r>
      <w:bookmarkEnd w:id="2"/>
      <w:bookmarkEnd w:id="3"/>
      <w:bookmarkEnd w:id="4"/>
    </w:p>
    <w:tbl>
      <w:tblPr>
        <w:tblStyle w:val="23"/>
        <w:tblW w:w="5000"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650"/>
        <w:gridCol w:w="1685"/>
        <w:gridCol w:w="736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335" w:type="pct"/>
            <w:vAlign w:val="center"/>
          </w:tcPr>
          <w:p>
            <w:pPr>
              <w:adjustRightInd w:val="0"/>
              <w:snapToGrid w:val="0"/>
              <w:spacing w:line="240" w:lineRule="auto"/>
              <w:ind w:firstLine="0" w:firstLineChars="0"/>
              <w:jc w:val="center"/>
              <w:rPr>
                <w:rFonts w:ascii="仿宋" w:hAnsi="仿宋" w:cs="仿宋"/>
                <w:b/>
                <w:szCs w:val="24"/>
              </w:rPr>
            </w:pPr>
            <w:r>
              <w:rPr>
                <w:rFonts w:hint="eastAsia" w:ascii="仿宋" w:hAnsi="仿宋" w:cs="仿宋"/>
                <w:b/>
                <w:szCs w:val="24"/>
              </w:rPr>
              <w:t>序号</w:t>
            </w:r>
          </w:p>
        </w:tc>
        <w:tc>
          <w:tcPr>
            <w:tcW w:w="869" w:type="pct"/>
            <w:vAlign w:val="center"/>
          </w:tcPr>
          <w:p>
            <w:pPr>
              <w:adjustRightInd w:val="0"/>
              <w:snapToGrid w:val="0"/>
              <w:spacing w:line="240" w:lineRule="auto"/>
              <w:ind w:firstLine="0" w:firstLineChars="0"/>
              <w:jc w:val="center"/>
              <w:rPr>
                <w:rFonts w:ascii="仿宋" w:hAnsi="仿宋" w:cs="仿宋"/>
                <w:b/>
                <w:szCs w:val="24"/>
              </w:rPr>
            </w:pPr>
            <w:r>
              <w:rPr>
                <w:rFonts w:hint="eastAsia" w:ascii="仿宋" w:hAnsi="仿宋" w:cs="仿宋"/>
                <w:b/>
                <w:szCs w:val="24"/>
              </w:rPr>
              <w:t>内容</w:t>
            </w:r>
          </w:p>
        </w:tc>
        <w:tc>
          <w:tcPr>
            <w:tcW w:w="3796" w:type="pct"/>
            <w:vAlign w:val="center"/>
          </w:tcPr>
          <w:p>
            <w:pPr>
              <w:adjustRightInd w:val="0"/>
              <w:snapToGrid w:val="0"/>
              <w:spacing w:line="240" w:lineRule="auto"/>
              <w:ind w:firstLine="0" w:firstLineChars="0"/>
              <w:jc w:val="center"/>
              <w:rPr>
                <w:rFonts w:ascii="仿宋" w:hAnsi="仿宋" w:cs="仿宋"/>
                <w:b/>
                <w:szCs w:val="24"/>
              </w:rPr>
            </w:pPr>
            <w:r>
              <w:rPr>
                <w:rFonts w:hint="eastAsia" w:ascii="仿宋" w:hAnsi="仿宋" w:cs="仿宋"/>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采购人</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名称：山东第一医科大学（山东省医学科学院）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采购代理机构</w:t>
            </w:r>
          </w:p>
        </w:tc>
        <w:tc>
          <w:tcPr>
            <w:tcW w:w="3796" w:type="pct"/>
            <w:vAlign w:val="center"/>
          </w:tcPr>
          <w:p>
            <w:pPr>
              <w:adjustRightInd w:val="0"/>
              <w:snapToGrid w:val="0"/>
              <w:spacing w:line="240" w:lineRule="auto"/>
              <w:ind w:firstLine="0" w:firstLineChars="0"/>
              <w:rPr>
                <w:rFonts w:ascii="仿宋" w:hAnsi="仿宋" w:cs="仿宋"/>
              </w:rPr>
            </w:pPr>
            <w:r>
              <w:rPr>
                <w:rFonts w:hint="eastAsia" w:ascii="仿宋" w:hAnsi="仿宋" w:cs="仿宋"/>
              </w:rPr>
              <w:t>名称：山东华仁永旺招标有限公司</w:t>
            </w:r>
          </w:p>
          <w:p>
            <w:pPr>
              <w:adjustRightInd w:val="0"/>
              <w:snapToGrid w:val="0"/>
              <w:spacing w:line="240" w:lineRule="auto"/>
              <w:ind w:firstLine="0" w:firstLineChars="0"/>
              <w:rPr>
                <w:rFonts w:ascii="仿宋" w:hAnsi="仿宋" w:cs="仿宋"/>
              </w:rPr>
            </w:pPr>
            <w:r>
              <w:rPr>
                <w:rFonts w:hint="eastAsia" w:ascii="仿宋" w:hAnsi="仿宋" w:cs="仿宋"/>
              </w:rPr>
              <w:t>地址：济南市历下区经十路13777号中润世纪广场18号楼603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95"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投标人特定资格要求</w:t>
            </w:r>
          </w:p>
        </w:tc>
        <w:tc>
          <w:tcPr>
            <w:tcW w:w="3796" w:type="pct"/>
            <w:vAlign w:val="center"/>
          </w:tcPr>
          <w:p>
            <w:pPr>
              <w:adjustRightInd w:val="0"/>
              <w:snapToGrid w:val="0"/>
              <w:spacing w:line="240" w:lineRule="auto"/>
              <w:ind w:firstLine="0" w:firstLineChars="0"/>
              <w:rPr>
                <w:rFonts w:ascii="仿宋" w:hAnsi="仿宋" w:cs="仿宋"/>
              </w:rPr>
            </w:pPr>
            <w:r>
              <w:rPr>
                <w:rFonts w:hint="eastAsia" w:ascii="仿宋" w:hAnsi="仿宋" w:cs="仿宋"/>
                <w:szCs w:val="24"/>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计划编号</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szCs w:val="24"/>
              </w:rPr>
              <w:t xml:space="preserve"> 37000000014006520230114</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5</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rPr>
              <w:t>资金性质</w:t>
            </w:r>
          </w:p>
        </w:tc>
        <w:tc>
          <w:tcPr>
            <w:tcW w:w="3796" w:type="pct"/>
            <w:vAlign w:val="center"/>
          </w:tcPr>
          <w:p>
            <w:pPr>
              <w:adjustRightInd w:val="0"/>
              <w:snapToGrid w:val="0"/>
              <w:spacing w:line="240" w:lineRule="auto"/>
              <w:ind w:firstLine="0" w:firstLineChars="0"/>
              <w:rPr>
                <w:rFonts w:ascii="仿宋" w:hAnsi="仿宋" w:cs="仿宋"/>
              </w:rPr>
            </w:pPr>
            <w:r>
              <w:rPr>
                <w:rFonts w:hint="eastAsia" w:ascii="仿宋" w:hAnsi="仿宋" w:cs="仿宋"/>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6</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采购方式</w:t>
            </w:r>
          </w:p>
        </w:tc>
        <w:tc>
          <w:tcPr>
            <w:tcW w:w="3796" w:type="pct"/>
            <w:vAlign w:val="center"/>
          </w:tcPr>
          <w:p>
            <w:pPr>
              <w:adjustRightInd w:val="0"/>
              <w:snapToGrid w:val="0"/>
              <w:spacing w:line="240" w:lineRule="auto"/>
              <w:ind w:firstLine="0" w:firstLineChars="0"/>
              <w:rPr>
                <w:rFonts w:ascii="仿宋" w:hAnsi="仿宋" w:cs="仿宋"/>
              </w:rPr>
            </w:pPr>
            <w:r>
              <w:rPr>
                <w:rFonts w:hint="eastAsia" w:ascii="仿宋" w:hAnsi="仿宋" w:cs="仿宋"/>
              </w:rPr>
              <w:t>公开招标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7</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疑问</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rPr>
              <w:t>投标人有疑问需要采购人解答的须在招标文件发售截止次日12:00之前发送到sdhryw@126.com，注明邮件主题为XXX公司关于XXX项目X包的疑问，并电话告知采购代理机构（0531-88589238），逾期不再接收。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8</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投标有效期</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rPr>
              <w:t>投标截止日后90日有效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040"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9</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是否专门面向中小微企业采购</w:t>
            </w:r>
          </w:p>
        </w:tc>
        <w:tc>
          <w:tcPr>
            <w:tcW w:w="3796" w:type="pct"/>
            <w:vAlign w:val="center"/>
          </w:tcPr>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是</w:t>
            </w:r>
            <w:r>
              <w:rPr>
                <w:rFonts w:hint="eastAsia" w:ascii="仿宋" w:hAnsi="仿宋" w:cs="仿宋"/>
                <w:sz w:val="36"/>
              </w:rPr>
              <w:t>☑</w:t>
            </w:r>
            <w:r>
              <w:rPr>
                <w:rFonts w:hint="eastAsia" w:ascii="仿宋" w:hAnsi="仿宋" w:cs="仿宋"/>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10</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中小企业划分标准中采购标的所属行业</w:t>
            </w:r>
          </w:p>
        </w:tc>
        <w:tc>
          <w:tcPr>
            <w:tcW w:w="3796" w:type="pct"/>
            <w:vAlign w:val="center"/>
          </w:tcPr>
          <w:p>
            <w:pPr>
              <w:adjustRightInd w:val="0"/>
              <w:snapToGrid w:val="0"/>
              <w:spacing w:line="240" w:lineRule="auto"/>
              <w:ind w:firstLine="0" w:firstLineChars="0"/>
              <w:rPr>
                <w:rFonts w:ascii="仿宋" w:hAnsi="仿宋" w:cs="仿宋"/>
              </w:rPr>
            </w:pPr>
            <w:r>
              <w:rPr>
                <w:rFonts w:hint="eastAsia" w:ascii="仿宋" w:hAnsi="仿宋" w:cs="仿宋"/>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11</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是否允许分包、转包</w:t>
            </w:r>
          </w:p>
        </w:tc>
        <w:tc>
          <w:tcPr>
            <w:tcW w:w="3796" w:type="pct"/>
            <w:vAlign w:val="center"/>
          </w:tcPr>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是</w:t>
            </w:r>
            <w:r>
              <w:rPr>
                <w:rFonts w:hint="eastAsia" w:ascii="仿宋" w:hAnsi="仿宋" w:cs="仿宋"/>
                <w:sz w:val="36"/>
              </w:rPr>
              <w:t>☑</w:t>
            </w:r>
            <w:r>
              <w:rPr>
                <w:rFonts w:hint="eastAsia" w:ascii="仿宋" w:hAnsi="仿宋" w:cs="仿宋"/>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12</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备选方案</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不允许</w:t>
            </w:r>
          </w:p>
          <w:p>
            <w:pPr>
              <w:adjustRightInd w:val="0"/>
              <w:snapToGrid w:val="0"/>
              <w:spacing w:line="240" w:lineRule="auto"/>
              <w:ind w:firstLine="0" w:firstLineChars="0"/>
              <w:rPr>
                <w:rFonts w:ascii="仿宋" w:hAnsi="仿宋" w:cs="仿宋"/>
                <w:szCs w:val="24"/>
              </w:rPr>
            </w:pPr>
            <w:r>
              <w:rPr>
                <w:rFonts w:hint="eastAsia" w:ascii="仿宋" w:hAnsi="仿宋" w:cs="仿宋"/>
                <w:sz w:val="36"/>
              </w:rPr>
              <w:t>□</w:t>
            </w:r>
            <w:r>
              <w:rPr>
                <w:rFonts w:hint="eastAsia" w:ascii="仿宋" w:hAnsi="仿宋" w:cs="仿宋"/>
                <w:szCs w:val="24"/>
              </w:rPr>
              <w:t>允许，备选投标方案的编制要求、评标办法：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13</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样品要求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rPr>
              <w:t>详见技术参数要求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演示要求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不需演示</w:t>
            </w:r>
          </w:p>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15</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踏勘现场</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不组织</w:t>
            </w:r>
          </w:p>
          <w:p>
            <w:pPr>
              <w:adjustRightInd w:val="0"/>
              <w:snapToGrid w:val="0"/>
              <w:spacing w:line="240" w:lineRule="auto"/>
              <w:ind w:firstLine="0" w:firstLineChars="0"/>
              <w:rPr>
                <w:rFonts w:ascii="仿宋" w:hAnsi="仿宋" w:cs="仿宋"/>
                <w:szCs w:val="24"/>
              </w:rPr>
            </w:pPr>
            <w:r>
              <w:rPr>
                <w:rFonts w:hint="eastAsia" w:ascii="仿宋" w:hAnsi="仿宋" w:cs="仿宋"/>
                <w:sz w:val="36"/>
              </w:rPr>
              <w:t>□</w:t>
            </w:r>
            <w:r>
              <w:rPr>
                <w:rFonts w:hint="eastAsia" w:ascii="仿宋" w:hAnsi="仿宋" w:cs="仿宋"/>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16</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lang w:val="en-GB"/>
              </w:rPr>
              <w:t>报价方式</w:t>
            </w:r>
          </w:p>
        </w:tc>
        <w:tc>
          <w:tcPr>
            <w:tcW w:w="3796" w:type="pct"/>
            <w:vAlign w:val="center"/>
          </w:tcPr>
          <w:p>
            <w:pPr>
              <w:adjustRightInd w:val="0"/>
              <w:snapToGrid w:val="0"/>
              <w:spacing w:line="240" w:lineRule="auto"/>
              <w:ind w:firstLine="0" w:firstLineChars="0"/>
              <w:rPr>
                <w:rFonts w:ascii="仿宋" w:hAnsi="仿宋" w:cs="仿宋"/>
                <w:b/>
                <w:bCs/>
              </w:rPr>
            </w:pPr>
            <w:r>
              <w:rPr>
                <w:rFonts w:hint="eastAsia" w:ascii="仿宋" w:hAnsi="仿宋" w:cs="仿宋"/>
                <w:b/>
                <w:bCs/>
              </w:rPr>
              <w:t>1、本项目为交钥匙工程。</w:t>
            </w:r>
          </w:p>
          <w:p>
            <w:pPr>
              <w:adjustRightInd w:val="0"/>
              <w:snapToGrid w:val="0"/>
              <w:spacing w:line="240" w:lineRule="auto"/>
              <w:ind w:firstLine="0" w:firstLineChars="0"/>
              <w:rPr>
                <w:rFonts w:ascii="仿宋" w:hAnsi="仿宋" w:cs="仿宋"/>
                <w:b/>
                <w:bCs/>
              </w:rPr>
            </w:pPr>
            <w:r>
              <w:rPr>
                <w:rFonts w:hint="eastAsia" w:ascii="仿宋" w:hAnsi="仿宋" w:cs="仿宋"/>
                <w:b/>
                <w:bCs/>
              </w:rPr>
              <w:t xml:space="preserve">2、国产、进口设备：人民币完税报价； </w:t>
            </w:r>
          </w:p>
          <w:p>
            <w:pPr>
              <w:adjustRightInd w:val="0"/>
              <w:snapToGrid w:val="0"/>
              <w:spacing w:line="240" w:lineRule="auto"/>
              <w:ind w:firstLine="0" w:firstLineChars="0"/>
              <w:rPr>
                <w:rFonts w:ascii="仿宋" w:hAnsi="仿宋" w:cs="仿宋"/>
              </w:rPr>
            </w:pPr>
            <w:r>
              <w:rPr>
                <w:rFonts w:hint="eastAsia" w:ascii="仿宋" w:hAnsi="仿宋" w:cs="仿宋"/>
              </w:rPr>
              <w:t>3、本项目采用全费用报价方式，投标人在报价时应充分考虑市场环境和生产要素价格变化对合同价的影响，可考虑一定的风险系数；所填报价格在合同实施间不因市场变化（或政策性）因素而变动。</w:t>
            </w:r>
          </w:p>
          <w:p>
            <w:pPr>
              <w:adjustRightInd w:val="0"/>
              <w:snapToGrid w:val="0"/>
              <w:spacing w:line="240" w:lineRule="auto"/>
              <w:ind w:firstLine="0" w:firstLineChars="0"/>
              <w:rPr>
                <w:rFonts w:ascii="仿宋" w:hAnsi="仿宋" w:cs="仿宋"/>
              </w:rPr>
            </w:pPr>
            <w:r>
              <w:rPr>
                <w:rFonts w:hint="eastAsia" w:ascii="仿宋" w:hAnsi="仿宋" w:cs="仿宋"/>
              </w:rPr>
              <w:t>投标人填报的全费用报价包括为完成招标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中标服务费等所有费用的总和。上述费用均摊在各子项单价中，不单独结算。</w:t>
            </w:r>
          </w:p>
          <w:p>
            <w:pPr>
              <w:adjustRightInd w:val="0"/>
              <w:snapToGrid w:val="0"/>
              <w:spacing w:line="240" w:lineRule="auto"/>
              <w:ind w:firstLine="0" w:firstLineChars="0"/>
              <w:rPr>
                <w:rFonts w:ascii="仿宋" w:hAnsi="仿宋" w:cs="仿宋"/>
              </w:rPr>
            </w:pPr>
            <w:r>
              <w:rPr>
                <w:rFonts w:hint="eastAsia" w:ascii="仿宋" w:hAnsi="仿宋" w:cs="仿宋"/>
              </w:rPr>
              <w:t>上述费用描述须包括所有采购材料到指定交货地点的所有费用，采购人不支付除投标人报价的任何附加费用。</w:t>
            </w:r>
          </w:p>
          <w:p>
            <w:pPr>
              <w:adjustRightInd w:val="0"/>
              <w:snapToGrid w:val="0"/>
              <w:spacing w:line="240" w:lineRule="auto"/>
              <w:ind w:firstLine="0" w:firstLineChars="0"/>
              <w:rPr>
                <w:rFonts w:ascii="仿宋" w:hAnsi="仿宋" w:cs="仿宋"/>
              </w:rPr>
            </w:pPr>
            <w:r>
              <w:rPr>
                <w:rFonts w:hint="eastAsia" w:ascii="仿宋" w:hAnsi="仿宋" w:cs="仿宋"/>
                <w:b/>
                <w:bCs/>
              </w:rPr>
              <w:t>4、凡投标人在报价中未列的项目或遗漏项目，采购人将一律视为已包括在其报价中，在合同执行中将不予考虑。投标人应根据现场实际情况进行复核服务需求，如服务需求调整视为投标人风险自担，采购人将不再采购报价外追加费用</w:t>
            </w:r>
            <w:r>
              <w:rPr>
                <w:rFonts w:hint="eastAsia" w:ascii="仿宋" w:hAnsi="仿宋" w:cs="仿宋"/>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17</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质保期</w:t>
            </w:r>
          </w:p>
        </w:tc>
        <w:tc>
          <w:tcPr>
            <w:tcW w:w="3796" w:type="pct"/>
            <w:vAlign w:val="center"/>
          </w:tcPr>
          <w:p>
            <w:pPr>
              <w:adjustRightInd w:val="0"/>
              <w:snapToGrid w:val="0"/>
              <w:spacing w:line="240" w:lineRule="auto"/>
              <w:ind w:firstLine="0" w:firstLineChars="0"/>
              <w:rPr>
                <w:rFonts w:ascii="仿宋" w:hAnsi="仿宋" w:cs="仿宋"/>
                <w:kern w:val="0"/>
                <w:szCs w:val="24"/>
              </w:rPr>
            </w:pPr>
            <w:r>
              <w:rPr>
                <w:rFonts w:hint="eastAsia" w:ascii="仿宋" w:hAnsi="仿宋" w:cs="仿宋"/>
                <w:kern w:val="0"/>
                <w:szCs w:val="24"/>
              </w:rPr>
              <w:t>详见招标文件“第八部分技术要求及说明”具体要求；</w:t>
            </w:r>
          </w:p>
          <w:p>
            <w:pPr>
              <w:adjustRightInd w:val="0"/>
              <w:snapToGrid w:val="0"/>
              <w:spacing w:line="240" w:lineRule="auto"/>
              <w:ind w:firstLine="0" w:firstLineChars="0"/>
              <w:rPr>
                <w:rFonts w:ascii="仿宋" w:hAnsi="仿宋" w:cs="仿宋"/>
                <w:szCs w:val="24"/>
              </w:rPr>
            </w:pPr>
            <w:r>
              <w:rPr>
                <w:rFonts w:hint="eastAsia" w:ascii="仿宋" w:hAnsi="仿宋" w:cs="仿宋"/>
                <w:kern w:val="0"/>
                <w:szCs w:val="24"/>
              </w:rPr>
              <w:t>投标人可根据自身实际情况自报最长质保期。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18</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供货期</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详见招标文件“第八部分技术要求及说明”具体要求；</w:t>
            </w:r>
          </w:p>
          <w:p>
            <w:pPr>
              <w:adjustRightInd w:val="0"/>
              <w:snapToGrid w:val="0"/>
              <w:spacing w:line="240" w:lineRule="auto"/>
              <w:ind w:firstLine="0" w:firstLineChars="0"/>
              <w:rPr>
                <w:rFonts w:ascii="仿宋" w:hAnsi="仿宋" w:cs="仿宋"/>
                <w:szCs w:val="24"/>
              </w:rPr>
            </w:pPr>
            <w:r>
              <w:rPr>
                <w:rFonts w:hint="eastAsia" w:ascii="仿宋" w:hAnsi="仿宋" w:cs="仿宋"/>
              </w:rPr>
              <w:t>投标人可根据自身实际情况自报最短供货期。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lang w:val="en-GB"/>
              </w:rPr>
              <w:t>19</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交货地点</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20</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投标保证金</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根据鲁财采【2019】40号规定，本项目不向诚信记录良好的投标人收取投标保证金。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76"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21</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付款方式及履约保证金</w:t>
            </w:r>
          </w:p>
        </w:tc>
        <w:tc>
          <w:tcPr>
            <w:tcW w:w="3796" w:type="pct"/>
            <w:vAlign w:val="center"/>
          </w:tcPr>
          <w:p>
            <w:pPr>
              <w:pStyle w:val="2"/>
              <w:spacing w:line="240" w:lineRule="auto"/>
              <w:ind w:left="0" w:leftChars="0" w:firstLine="0" w:firstLineChars="0"/>
            </w:pPr>
            <w:r>
              <w:rPr>
                <w:rFonts w:hint="eastAsia" w:ascii="宋体" w:hAnsi="宋体" w:cs="宋体"/>
              </w:rPr>
              <w:t>国产设备：合同签订前成交供应商向采购人指定账户缴纳合同金额5%的履约保证金。在合同签订生效且具备实施条件后，成交供应商向项目负责人或指定人申请合同金额70%的预付款，采购人确定后7个工作日内支付。项目验收合格、审计定案（若需要）后7个工作日内，支付剩余合同货款。</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22</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投标文件格式</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按招标文件要求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23</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投标文件组成、份数、密封要求</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正本一份，副本七份，报价一览表（一式三份），USB 接口设备存储的电子版投标文件一份（要求：可编辑WORD 版本、签字盖章的投标文件正本PDF 版本）。</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正本、副本、报价一览表、电子版投标文件分别单独密封。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24</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关于递交原件的规定</w:t>
            </w:r>
          </w:p>
        </w:tc>
        <w:tc>
          <w:tcPr>
            <w:tcW w:w="3796" w:type="pct"/>
            <w:vAlign w:val="center"/>
          </w:tcPr>
          <w:p>
            <w:pPr>
              <w:pStyle w:val="6"/>
              <w:spacing w:before="0" w:after="0" w:line="240" w:lineRule="auto"/>
              <w:ind w:firstLine="0" w:firstLineChars="0"/>
              <w:rPr>
                <w:rFonts w:ascii="仿宋" w:hAnsi="仿宋" w:eastAsia="仿宋" w:cs="仿宋"/>
                <w:szCs w:val="24"/>
              </w:rPr>
            </w:pPr>
            <w:r>
              <w:rPr>
                <w:rFonts w:hint="eastAsia" w:ascii="仿宋" w:hAnsi="仿宋" w:eastAsia="仿宋" w:cs="仿宋"/>
                <w:sz w:val="24"/>
                <w:szCs w:val="20"/>
              </w:rPr>
              <w:t>业绩加分部分</w:t>
            </w:r>
            <w:r>
              <w:rPr>
                <w:rFonts w:hint="eastAsia" w:ascii="仿宋" w:hAnsi="仿宋" w:eastAsia="仿宋" w:cs="仿宋"/>
                <w:b w:val="0"/>
                <w:bCs w:val="0"/>
                <w:sz w:val="24"/>
                <w:szCs w:val="20"/>
              </w:rPr>
              <w:t>：若要求提供原件的，须提供合同原件（复印件加盖投标人公章胶装于投标文件），该合同不提供或提供不全不得分。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lang w:val="en-GB"/>
              </w:rPr>
              <w:t>25</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递交投标文件的时间和地点</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时间：2023年</w:t>
            </w:r>
            <w:r>
              <w:rPr>
                <w:rFonts w:hint="eastAsia" w:ascii="仿宋" w:hAnsi="仿宋" w:cs="仿宋"/>
                <w:szCs w:val="24"/>
                <w:lang w:val="en-US" w:eastAsia="zh-CN"/>
              </w:rPr>
              <w:t>8</w:t>
            </w:r>
            <w:r>
              <w:rPr>
                <w:rFonts w:hint="eastAsia" w:ascii="仿宋" w:hAnsi="仿宋" w:cs="仿宋"/>
                <w:szCs w:val="24"/>
              </w:rPr>
              <w:t>月</w:t>
            </w:r>
            <w:r>
              <w:rPr>
                <w:rFonts w:hint="eastAsia" w:ascii="仿宋" w:hAnsi="仿宋" w:cs="仿宋"/>
                <w:szCs w:val="24"/>
                <w:lang w:val="en-US" w:eastAsia="zh-CN"/>
              </w:rPr>
              <w:t>2</w:t>
            </w:r>
            <w:r>
              <w:rPr>
                <w:rFonts w:hint="eastAsia" w:ascii="仿宋" w:hAnsi="仿宋" w:cs="仿宋"/>
                <w:szCs w:val="24"/>
              </w:rPr>
              <w:t>日08:30-09:00（北京时间）</w:t>
            </w:r>
          </w:p>
          <w:p>
            <w:pPr>
              <w:adjustRightInd w:val="0"/>
              <w:snapToGrid w:val="0"/>
              <w:spacing w:line="240" w:lineRule="auto"/>
              <w:ind w:firstLine="0" w:firstLineChars="0"/>
              <w:rPr>
                <w:rFonts w:ascii="仿宋" w:hAnsi="仿宋" w:cs="仿宋"/>
              </w:rPr>
            </w:pPr>
            <w:r>
              <w:rPr>
                <w:rFonts w:hint="eastAsia" w:ascii="仿宋" w:hAnsi="仿宋" w:cs="仿宋"/>
                <w:szCs w:val="24"/>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26</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开标时间和地点</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时间：2023年</w:t>
            </w:r>
            <w:r>
              <w:rPr>
                <w:rFonts w:hint="eastAsia" w:ascii="仿宋" w:hAnsi="仿宋" w:cs="仿宋"/>
                <w:szCs w:val="24"/>
                <w:lang w:val="en-US" w:eastAsia="zh-CN"/>
              </w:rPr>
              <w:t>8</w:t>
            </w:r>
            <w:r>
              <w:rPr>
                <w:rFonts w:hint="eastAsia" w:ascii="仿宋" w:hAnsi="仿宋" w:cs="仿宋"/>
                <w:szCs w:val="24"/>
              </w:rPr>
              <w:t>月</w:t>
            </w:r>
            <w:r>
              <w:rPr>
                <w:rFonts w:hint="eastAsia" w:ascii="仿宋" w:hAnsi="仿宋" w:cs="仿宋"/>
                <w:szCs w:val="24"/>
                <w:lang w:val="en-US" w:eastAsia="zh-CN"/>
              </w:rPr>
              <w:t>2</w:t>
            </w:r>
            <w:bookmarkStart w:id="19" w:name="_GoBack"/>
            <w:bookmarkEnd w:id="19"/>
            <w:r>
              <w:rPr>
                <w:rFonts w:hint="eastAsia" w:ascii="仿宋" w:hAnsi="仿宋" w:cs="仿宋"/>
                <w:szCs w:val="24"/>
              </w:rPr>
              <w:t>日09:00（北京时间）</w:t>
            </w:r>
          </w:p>
          <w:p>
            <w:pPr>
              <w:adjustRightInd w:val="0"/>
              <w:snapToGrid w:val="0"/>
              <w:spacing w:line="240" w:lineRule="auto"/>
              <w:ind w:firstLine="0" w:firstLineChars="0"/>
              <w:rPr>
                <w:rFonts w:ascii="仿宋" w:hAnsi="仿宋" w:cs="仿宋"/>
              </w:rPr>
            </w:pPr>
            <w:r>
              <w:rPr>
                <w:rFonts w:hint="eastAsia" w:ascii="仿宋" w:hAnsi="仿宋" w:cs="仿宋"/>
                <w:szCs w:val="24"/>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27</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lang w:val="en-GB"/>
              </w:rPr>
              <w:t>检查投标文件的密封情况</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由监督人/公证机关/见证律师/投标人授权代表检查投标/投标文件密封情况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28</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中标服务费收取标准</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中标人须在中标公告发出后5个工作日内向采购代理机构缴纳中标服务费，中标服务费以中标价格为计费基础，收费标准参照“计价格[2002]1980号”规定70%收取。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29</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见证律师费的收费标准</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中标人按中标金额1‰向公证机关/见证律师交纳公证费/见证律师费，不足500元，按500元收取。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30</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技术部分评审依据内容</w:t>
            </w:r>
          </w:p>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（综合对比）</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1、制造商公开发布的印刷资料或彩页等；</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2、检测机构出具的检测报告；</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3、技术响应表；</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4、投标详细技术描述、建设方案等；</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31</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招标文件解释权</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构成本招标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32</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同一品牌产品相关问题</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1、提供相同品牌产品且通过资格审查、符合性审查的不同投标人参加同一合同项下投标的，按一家投标人计算，评审后得分最高的同品牌投标人获得中标人推荐资格。评审得分相同的，按投标报价由低到高顺序排列，得分且投标报价相同的，按技术指标优劣顺序排列。</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2、非单一产品采购项目中核心产品的确定原则：</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（1）第八部分技术要求及说明中规定核心产品的，以核心产品参照上述第1款的规定。</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（2）第八部分技术要求及说明中未规定核心产品的，多家代理商所投同一品牌产品价格总和均超过该项目投标总价50%的，适用于上述第1款的规定。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33</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其他</w:t>
            </w:r>
          </w:p>
        </w:tc>
        <w:tc>
          <w:tcPr>
            <w:tcW w:w="3796"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1、中标人所有投标文件的所有权（包括知识产权）归采购人所有。</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2、采购人提供的相关资料只供本次招标活动使用，各投标人应承担保密义务，不得擅自拷贝和传播。</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3、各投标人的调研费、差旅费及所获补偿金、奖金的税费自理。</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4、所有提交成果一律不退回。</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5、参加本次投标的单位均被视为承认本招标文件的所有条款，并按招标文件规定条款完成投标任务和活动。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34</w:t>
            </w:r>
          </w:p>
        </w:tc>
        <w:tc>
          <w:tcPr>
            <w:tcW w:w="869" w:type="pct"/>
            <w:vAlign w:val="center"/>
          </w:tcPr>
          <w:p>
            <w:pPr>
              <w:adjustRightInd w:val="0"/>
              <w:snapToGrid w:val="0"/>
              <w:spacing w:line="240" w:lineRule="auto"/>
              <w:ind w:firstLine="0" w:firstLineChars="0"/>
              <w:jc w:val="center"/>
              <w:rPr>
                <w:rFonts w:ascii="仿宋" w:hAnsi="仿宋" w:cs="仿宋"/>
                <w:lang w:val="en-GB"/>
              </w:rPr>
            </w:pPr>
            <w:r>
              <w:rPr>
                <w:rFonts w:hint="eastAsia" w:ascii="仿宋" w:hAnsi="仿宋" w:cs="仿宋"/>
                <w:lang w:val="en-GB"/>
              </w:rPr>
              <w:t>投标注意事项</w:t>
            </w:r>
          </w:p>
        </w:tc>
        <w:tc>
          <w:tcPr>
            <w:tcW w:w="3796" w:type="pct"/>
            <w:vAlign w:val="center"/>
          </w:tcPr>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1、投标人须于报名截止前在中国山东政府采购网（http://www.ccgp-shandong.gov.cn/sdgp2017/site/index.jsp）注册并报名成功。</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2、根据财库[2016]125号的相关规定，本次招投标活动将对相关主体信用记录进行查询，对列入失信被执行人、税收违法黑名单、政府采购严重违法失信行为记录名单及其他不符合《中华人民共和国政府采购法》第二十二条规定条件的投标人，拒绝其参与政府采购活动。投标人信用记录信息以信用信息查询记录和证据为准【信用查询渠道：“信用中国”网站（www.creditchina.gov.cn）、“信用中国（山东）”网站（www.creditsd.gov.cn）、 “中国政府采购网”网站（www.ccgp.gov.cn）】</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注：</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1）自招标公告发布之日起至投标文件递交截止时间止，出具相关证明材料，查询时须将查询网页、内容进行截图或拍照，以作证据留存，截图或拍照内容要完整清晰，应包括网站网址、查询内容、电脑截屏时间。</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（2）注册地非山东省的投标人，须提供注册地省份相关网站查询记录。</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3、参与投标活动的投标人应当遵循公平竞争和诚实信用的原则，任何违反公平竞争和诚实信用的行为都将导致投标无效，且依据《中华人民共和国政府采购法》第七十七条进行处罚。</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4、根据财库〔2015〕135号的相关规定，本次采购将对中标人的投标报价明细表进行公示，请投标人务必认真填写，如因填写有误等投标人自身原因引起的质疑等产生的一切后果由投标人承担。</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adjustRightInd w:val="0"/>
              <w:snapToGrid w:val="0"/>
              <w:spacing w:line="240" w:lineRule="auto"/>
              <w:ind w:firstLine="0" w:firstLineChars="0"/>
              <w:rPr>
                <w:rFonts w:ascii="仿宋" w:hAnsi="仿宋" w:cs="仿宋"/>
                <w:szCs w:val="21"/>
              </w:rPr>
            </w:pPr>
            <w:r>
              <w:rPr>
                <w:rFonts w:hint="eastAsia" w:ascii="仿宋" w:hAnsi="仿宋" w:cs="仿宋"/>
                <w:b/>
                <w:szCs w:val="21"/>
              </w:rPr>
              <w:t>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pStyle w:val="10"/>
              <w:adjustRightInd w:val="0"/>
              <w:snapToGrid w:val="0"/>
              <w:rPr>
                <w:rFonts w:ascii="仿宋" w:hAnsi="仿宋" w:eastAsia="仿宋" w:cs="仿宋"/>
                <w:sz w:val="24"/>
              </w:rPr>
            </w:pPr>
            <w:r>
              <w:rPr>
                <w:rFonts w:hint="eastAsia" w:ascii="仿宋" w:hAnsi="仿宋" w:eastAsia="仿宋" w:cs="仿宋"/>
                <w:sz w:val="24"/>
              </w:rPr>
              <w:t>6、本项目实行资格后审，报名成功不代表开标结束后通过资格审查。</w:t>
            </w:r>
          </w:p>
        </w:tc>
      </w:tr>
    </w:tbl>
    <w:p>
      <w:pPr>
        <w:pStyle w:val="33"/>
        <w:ind w:firstLine="0" w:firstLineChars="0"/>
        <w:rPr>
          <w:rFonts w:ascii="仿宋" w:hAnsi="仿宋" w:cs="仿宋"/>
        </w:rPr>
      </w:pPr>
    </w:p>
    <w:p>
      <w:pPr>
        <w:pStyle w:val="33"/>
        <w:ind w:firstLine="0" w:firstLineChars="0"/>
        <w:rPr>
          <w:rFonts w:ascii="仿宋" w:hAnsi="仿宋" w:cs="仿宋"/>
        </w:rPr>
      </w:pPr>
      <w:r>
        <w:rPr>
          <w:rFonts w:hint="eastAsia" w:ascii="仿宋" w:hAnsi="仿宋" w:cs="仿宋"/>
        </w:rPr>
        <w:t>说明：本表内容与招标文件其他部分内容不一致的，应当以本表内容为准。</w:t>
      </w:r>
    </w:p>
    <w:p>
      <w:pPr>
        <w:pStyle w:val="33"/>
        <w:ind w:firstLine="0" w:firstLineChars="0"/>
        <w:rPr>
          <w:rFonts w:ascii="仿宋" w:hAnsi="仿宋" w:cs="仿宋"/>
        </w:rPr>
      </w:pPr>
    </w:p>
    <w:p>
      <w:pPr>
        <w:pStyle w:val="33"/>
        <w:ind w:firstLine="0" w:firstLineChars="0"/>
        <w:rPr>
          <w:rFonts w:ascii="仿宋" w:hAnsi="仿宋" w:cs="仿宋"/>
        </w:rPr>
      </w:pPr>
    </w:p>
    <w:p>
      <w:pPr>
        <w:widowControl/>
        <w:spacing w:line="240" w:lineRule="auto"/>
        <w:ind w:firstLine="0" w:firstLineChars="0"/>
        <w:rPr>
          <w:rFonts w:ascii="仿宋" w:hAnsi="仿宋" w:cs="仿宋"/>
          <w:b/>
          <w:sz w:val="32"/>
          <w:szCs w:val="32"/>
        </w:rPr>
      </w:pPr>
      <w:r>
        <w:rPr>
          <w:rFonts w:hint="eastAsia" w:ascii="仿宋" w:hAnsi="仿宋" w:cs="仿宋"/>
          <w:b/>
          <w:sz w:val="32"/>
          <w:szCs w:val="32"/>
        </w:rPr>
        <w:br w:type="page"/>
      </w:r>
    </w:p>
    <w:p>
      <w:pPr>
        <w:ind w:firstLine="0" w:firstLineChars="0"/>
        <w:jc w:val="center"/>
        <w:outlineLvl w:val="0"/>
        <w:rPr>
          <w:rFonts w:ascii="仿宋" w:hAnsi="仿宋" w:cs="仿宋"/>
          <w:b/>
          <w:sz w:val="32"/>
          <w:szCs w:val="32"/>
        </w:rPr>
      </w:pPr>
      <w:bookmarkStart w:id="5" w:name="_Toc106784593"/>
      <w:bookmarkStart w:id="6" w:name="_Toc106784520"/>
      <w:r>
        <w:rPr>
          <w:rFonts w:hint="eastAsia" w:ascii="仿宋" w:hAnsi="仿宋" w:cs="仿宋"/>
          <w:b/>
          <w:sz w:val="32"/>
          <w:szCs w:val="32"/>
        </w:rPr>
        <w:t>第七部分评标方法和评分细则</w:t>
      </w:r>
      <w:bookmarkEnd w:id="5"/>
      <w:bookmarkEnd w:id="6"/>
    </w:p>
    <w:p>
      <w:pPr>
        <w:ind w:firstLine="562"/>
        <w:outlineLvl w:val="1"/>
        <w:rPr>
          <w:rFonts w:ascii="仿宋" w:hAnsi="仿宋" w:cs="仿宋"/>
          <w:b/>
          <w:sz w:val="28"/>
          <w:szCs w:val="28"/>
        </w:rPr>
      </w:pPr>
      <w:bookmarkStart w:id="7" w:name="_Toc69110205"/>
      <w:bookmarkStart w:id="8" w:name="_Toc106784594"/>
      <w:bookmarkStart w:id="9" w:name="_Toc106784521"/>
      <w:r>
        <w:rPr>
          <w:rFonts w:hint="eastAsia" w:ascii="仿宋" w:hAnsi="仿宋" w:cs="仿宋"/>
          <w:b/>
          <w:sz w:val="28"/>
          <w:szCs w:val="28"/>
        </w:rPr>
        <w:t>一、评标方法</w:t>
      </w:r>
      <w:bookmarkEnd w:id="7"/>
      <w:bookmarkEnd w:id="8"/>
      <w:bookmarkEnd w:id="9"/>
    </w:p>
    <w:p>
      <w:pPr>
        <w:pStyle w:val="33"/>
        <w:spacing w:line="360" w:lineRule="auto"/>
        <w:ind w:firstLine="480"/>
        <w:rPr>
          <w:rFonts w:ascii="仿宋" w:hAnsi="仿宋" w:cs="仿宋"/>
        </w:rPr>
      </w:pPr>
      <w:r>
        <w:rPr>
          <w:rFonts w:hint="eastAsia" w:ascii="仿宋" w:hAnsi="仿宋" w:cs="仿宋"/>
        </w:rPr>
        <w:t>本项目采用综合评分法，投标文件满足招标文件全部实质性要求且按照评审因素的量化指标评审得分最高的投标人为中标候选人。每一投标人的最终得分为所有评委评分的算术平均值。经采购人授权，本项目由评标委员会直接确定中标人，综合评分得分最高的投标人为中标人。得分相同的，报价较低的一方为中标人。得分且报价相同的，技术指标较优的一方为中标人。投标人的综合得分分值计算保留到小数点后两位数，第三位数四舍五入；当出现分值相同情况时，则报价低者优先。</w:t>
      </w:r>
    </w:p>
    <w:p>
      <w:pPr>
        <w:numPr>
          <w:ilvl w:val="0"/>
          <w:numId w:val="1"/>
        </w:numPr>
        <w:ind w:firstLine="562"/>
        <w:outlineLvl w:val="1"/>
        <w:rPr>
          <w:rFonts w:ascii="仿宋" w:hAnsi="仿宋" w:cs="仿宋"/>
          <w:b/>
          <w:sz w:val="28"/>
          <w:szCs w:val="28"/>
        </w:rPr>
      </w:pPr>
      <w:bookmarkStart w:id="10" w:name="_Toc106784595"/>
      <w:bookmarkStart w:id="11" w:name="_Toc69110206"/>
      <w:bookmarkStart w:id="12" w:name="_Toc106784522"/>
      <w:r>
        <w:rPr>
          <w:rFonts w:hint="eastAsia" w:ascii="仿宋" w:hAnsi="仿宋" w:cs="仿宋"/>
          <w:b/>
          <w:sz w:val="28"/>
          <w:szCs w:val="28"/>
        </w:rPr>
        <w:t>评分细则</w:t>
      </w:r>
      <w:bookmarkEnd w:id="10"/>
      <w:bookmarkEnd w:id="11"/>
      <w:bookmarkEnd w:id="12"/>
    </w:p>
    <w:p>
      <w:pPr>
        <w:ind w:firstLine="0" w:firstLineChars="0"/>
        <w:rPr>
          <w:rFonts w:ascii="仿宋" w:hAnsi="仿宋" w:cs="仿宋"/>
          <w:b/>
          <w:sz w:val="28"/>
          <w:szCs w:val="28"/>
        </w:rPr>
      </w:pPr>
      <w:bookmarkStart w:id="13" w:name="_Toc106784596"/>
      <w:bookmarkStart w:id="14" w:name="_Toc106784523"/>
      <w:bookmarkStart w:id="15" w:name="_Toc69110207"/>
      <w:r>
        <w:rPr>
          <w:rFonts w:hint="eastAsia" w:ascii="仿宋" w:hAnsi="仿宋" w:cs="仿宋"/>
          <w:b/>
          <w:sz w:val="28"/>
          <w:szCs w:val="28"/>
        </w:rPr>
        <w:t>评分细则</w:t>
      </w:r>
    </w:p>
    <w:tbl>
      <w:tblPr>
        <w:tblStyle w:val="23"/>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324"/>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3"/>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ascii="仿宋" w:hAnsi="仿宋" w:cs="仿宋"/>
                <w:bCs/>
                <w:caps/>
                <w:szCs w:val="24"/>
              </w:rPr>
            </w:pPr>
            <w:r>
              <w:rPr>
                <w:rFonts w:hint="eastAsia" w:ascii="仿宋" w:hAnsi="仿宋" w:cs="仿宋"/>
                <w:caps/>
                <w:szCs w:val="24"/>
              </w:rPr>
              <w:t xml:space="preserve">    </w:t>
            </w:r>
            <w:r>
              <w:rPr>
                <w:rFonts w:hint="eastAsia" w:ascii="仿宋" w:hAnsi="仿宋" w:cs="仿宋"/>
                <w:bCs/>
                <w:caps/>
                <w:szCs w:val="24"/>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restart"/>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szCs w:val="24"/>
              </w:rPr>
            </w:pPr>
            <w:r>
              <w:rPr>
                <w:rFonts w:hint="eastAsia" w:ascii="仿宋" w:hAnsi="仿宋" w:cs="仿宋"/>
                <w:szCs w:val="24"/>
              </w:rPr>
              <w:t>总分组成</w:t>
            </w: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szCs w:val="24"/>
              </w:rPr>
            </w:pPr>
            <w:r>
              <w:rPr>
                <w:rFonts w:hint="eastAsia" w:ascii="仿宋" w:hAnsi="仿宋" w:cs="仿宋"/>
                <w:szCs w:val="24"/>
              </w:rPr>
              <w:t>（1）价格</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ascii="仿宋" w:hAnsi="仿宋" w:cs="仿宋"/>
                <w:szCs w:val="24"/>
              </w:rPr>
            </w:pPr>
            <w:r>
              <w:rPr>
                <w:rFonts w:hint="eastAsia" w:ascii="仿宋" w:hAnsi="仿宋" w:cs="仿宋"/>
                <w:szCs w:val="24"/>
              </w:rPr>
              <w:t>30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ascii="仿宋" w:hAnsi="仿宋" w:cs="仿宋"/>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szCs w:val="24"/>
              </w:rPr>
            </w:pPr>
            <w:r>
              <w:rPr>
                <w:rFonts w:hint="eastAsia" w:ascii="仿宋" w:hAnsi="仿宋" w:cs="仿宋"/>
                <w:szCs w:val="24"/>
              </w:rPr>
              <w:t>（2）技术</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ascii="仿宋" w:hAnsi="仿宋" w:cs="仿宋"/>
                <w:szCs w:val="24"/>
              </w:rPr>
            </w:pPr>
            <w:r>
              <w:rPr>
                <w:rFonts w:hint="eastAsia" w:ascii="仿宋" w:hAnsi="仿宋" w:cs="仿宋"/>
                <w:szCs w:val="24"/>
              </w:rPr>
              <w:t>59</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ascii="仿宋" w:hAnsi="仿宋" w:cs="仿宋"/>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szCs w:val="24"/>
              </w:rPr>
            </w:pPr>
            <w:r>
              <w:rPr>
                <w:rFonts w:hint="eastAsia" w:ascii="仿宋" w:hAnsi="仿宋" w:cs="仿宋"/>
                <w:szCs w:val="24"/>
              </w:rPr>
              <w:t>（3）商务</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ascii="仿宋" w:hAnsi="仿宋" w:cs="仿宋"/>
                <w:szCs w:val="24"/>
              </w:rPr>
            </w:pPr>
            <w:r>
              <w:rPr>
                <w:rFonts w:hint="eastAsia" w:ascii="仿宋" w:hAnsi="仿宋" w:cs="仿宋"/>
                <w:szCs w:val="24"/>
              </w:rPr>
              <w:t>11</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gridSpan w:val="2"/>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投标报价</w:t>
            </w:r>
          </w:p>
          <w:p>
            <w:pPr>
              <w:spacing w:line="440" w:lineRule="exact"/>
              <w:ind w:firstLine="0" w:firstLineChars="0"/>
              <w:jc w:val="center"/>
              <w:rPr>
                <w:rFonts w:ascii="仿宋" w:hAnsi="仿宋" w:cs="仿宋"/>
                <w:bCs/>
                <w:szCs w:val="24"/>
              </w:rPr>
            </w:pPr>
            <w:r>
              <w:rPr>
                <w:rFonts w:hint="eastAsia" w:ascii="仿宋" w:hAnsi="仿宋" w:cs="仿宋"/>
                <w:bCs/>
                <w:szCs w:val="24"/>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ascii="仿宋" w:hAnsi="仿宋" w:cs="仿宋"/>
                <w:bCs/>
                <w:szCs w:val="24"/>
              </w:rPr>
            </w:pPr>
            <w:r>
              <w:rPr>
                <w:rFonts w:hint="eastAsia" w:ascii="仿宋" w:hAnsi="仿宋" w:cs="仿宋"/>
                <w:bCs/>
                <w:szCs w:val="24"/>
              </w:rPr>
              <w:t>以满足招标文件要求且投标价格最低的投标报价为评标基准价，其价格分为满分30分，其他投标人的价格分按照下列公式计算：投标报价得分=（评标基准价/投标报价）×30%×100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551" w:hRule="atLeast"/>
        </w:trPr>
        <w:tc>
          <w:tcPr>
            <w:tcW w:w="638" w:type="dxa"/>
            <w:vMerge w:val="restart"/>
            <w:tcBorders>
              <w:top w:val="single" w:color="000000" w:sz="6" w:space="0"/>
              <w:left w:val="doub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技术部分</w:t>
            </w:r>
          </w:p>
          <w:p>
            <w:pPr>
              <w:spacing w:line="440" w:lineRule="exact"/>
              <w:ind w:firstLine="0" w:firstLineChars="0"/>
              <w:jc w:val="center"/>
              <w:rPr>
                <w:rFonts w:ascii="仿宋" w:hAnsi="仿宋" w:cs="仿宋"/>
                <w:bCs/>
                <w:szCs w:val="24"/>
              </w:rPr>
            </w:pPr>
            <w:r>
              <w:rPr>
                <w:rFonts w:hint="eastAsia" w:ascii="仿宋" w:hAnsi="仿宋" w:cs="仿宋"/>
                <w:bCs/>
                <w:szCs w:val="24"/>
              </w:rPr>
              <w:t>59分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投标产品参数响应</w:t>
            </w:r>
          </w:p>
          <w:p>
            <w:pPr>
              <w:spacing w:line="440" w:lineRule="exact"/>
              <w:ind w:firstLine="0" w:firstLineChars="0"/>
              <w:jc w:val="center"/>
              <w:rPr>
                <w:rFonts w:ascii="仿宋" w:hAnsi="仿宋" w:cs="仿宋"/>
                <w:bCs/>
                <w:szCs w:val="24"/>
              </w:rPr>
            </w:pPr>
            <w:r>
              <w:rPr>
                <w:rFonts w:hint="eastAsia" w:ascii="仿宋" w:hAnsi="仿宋" w:cs="仿宋"/>
                <w:bCs/>
                <w:szCs w:val="24"/>
              </w:rPr>
              <w:t>43分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ascii="仿宋" w:hAnsi="仿宋" w:cs="仿宋"/>
                <w:kern w:val="0"/>
                <w:szCs w:val="24"/>
              </w:rPr>
            </w:pPr>
            <w:r>
              <w:rPr>
                <w:rFonts w:hint="eastAsia" w:ascii="仿宋" w:hAnsi="仿宋" w:cs="仿宋"/>
              </w:rPr>
              <w:t>根据招标文件的技术要求，对照投标文件和技术支持资料的技术参数进行比较，能够实质性响应招标文件要求的得基本分43分，普通条款一项偏离扣2分，经评标委员会集体认定供应商复制粘贴招标文件制作技术响应表该项得0分。</w:t>
            </w:r>
            <w:r>
              <w:rPr>
                <w:rFonts w:hint="eastAsia" w:ascii="仿宋" w:hAnsi="仿宋" w:cs="仿宋"/>
                <w:b/>
                <w:bCs/>
                <w:kern w:val="0"/>
                <w:szCs w:val="24"/>
              </w:rPr>
              <w:t>投标人须提供所投产品技术彩页（或网站截图或制造商说明书或第三方检测报告）作为技术佐证材料，否则评委有权视为技术参数存在负偏离。</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ascii="仿宋" w:hAnsi="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tcPr>
          <w:p>
            <w:pPr>
              <w:spacing w:line="440" w:lineRule="exact"/>
              <w:ind w:firstLine="0" w:firstLineChars="0"/>
              <w:jc w:val="both"/>
              <w:rPr>
                <w:rFonts w:ascii="仿宋" w:hAnsi="仿宋" w:cs="仿宋"/>
                <w:bCs/>
                <w:szCs w:val="24"/>
              </w:rPr>
            </w:pPr>
            <w:r>
              <w:rPr>
                <w:rFonts w:hint="eastAsia" w:ascii="仿宋" w:hAnsi="仿宋" w:cs="仿宋"/>
                <w:bCs/>
                <w:szCs w:val="24"/>
              </w:rPr>
              <w:t>投标产品综合性能10分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ascii="仿宋" w:hAnsi="仿宋" w:cs="仿宋"/>
                <w:bCs/>
                <w:szCs w:val="24"/>
              </w:rPr>
            </w:pPr>
            <w:r>
              <w:rPr>
                <w:rFonts w:hint="eastAsia" w:ascii="仿宋" w:hAnsi="仿宋" w:cs="仿宋"/>
                <w:bCs/>
                <w:szCs w:val="24"/>
              </w:rPr>
              <w:t>综合考虑投标产品整体配置、后期使用成本、产品维护及其它因素等综合评分。①投标产品整体配置、②明显优于采购要求③后期使用成本低、④产品易于维护、⑤其它因素，每项完全满足得2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bottom w:val="single" w:color="000000" w:sz="6" w:space="0"/>
              <w:right w:val="single" w:color="000000" w:sz="6" w:space="0"/>
            </w:tcBorders>
            <w:vAlign w:val="center"/>
          </w:tcPr>
          <w:p>
            <w:pPr>
              <w:widowControl/>
              <w:ind w:firstLine="0" w:firstLineChars="0"/>
              <w:rPr>
                <w:rFonts w:ascii="仿宋" w:hAnsi="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12"/>
              <w:spacing w:after="0" w:line="480" w:lineRule="exact"/>
              <w:ind w:firstLine="0" w:firstLineChars="0"/>
              <w:jc w:val="center"/>
              <w:rPr>
                <w:rFonts w:ascii="仿宋" w:hAnsi="仿宋" w:cs="仿宋"/>
                <w:bCs/>
              </w:rPr>
            </w:pPr>
            <w:r>
              <w:rPr>
                <w:rFonts w:hint="eastAsia" w:ascii="仿宋" w:hAnsi="仿宋" w:cs="仿宋"/>
                <w:bCs/>
              </w:rPr>
              <w:t>实施方案</w:t>
            </w:r>
          </w:p>
          <w:p>
            <w:pPr>
              <w:pStyle w:val="12"/>
              <w:spacing w:after="0" w:line="480" w:lineRule="exact"/>
              <w:ind w:firstLine="0" w:firstLineChars="0"/>
              <w:jc w:val="center"/>
              <w:rPr>
                <w:rFonts w:ascii="仿宋" w:hAnsi="仿宋" w:cs="仿宋"/>
                <w:bCs/>
                <w:szCs w:val="24"/>
              </w:rPr>
            </w:pPr>
            <w:r>
              <w:rPr>
                <w:rFonts w:hint="eastAsia" w:ascii="仿宋" w:hAnsi="仿宋" w:cs="仿宋"/>
                <w:bCs/>
              </w:rPr>
              <w:t>6分</w:t>
            </w:r>
          </w:p>
        </w:tc>
        <w:tc>
          <w:tcPr>
            <w:tcW w:w="7893" w:type="dxa"/>
            <w:tcBorders>
              <w:top w:val="single" w:color="000000" w:sz="6" w:space="0"/>
              <w:left w:val="single" w:color="000000" w:sz="6" w:space="0"/>
              <w:bottom w:val="single" w:color="000000" w:sz="6" w:space="0"/>
              <w:right w:val="double" w:color="000000" w:sz="6" w:space="0"/>
            </w:tcBorders>
          </w:tcPr>
          <w:p>
            <w:pPr>
              <w:pStyle w:val="12"/>
              <w:spacing w:after="0" w:line="480" w:lineRule="exact"/>
              <w:ind w:firstLine="0" w:firstLineChars="0"/>
              <w:rPr>
                <w:rFonts w:ascii="仿宋" w:hAnsi="仿宋" w:cs="仿宋"/>
                <w:bCs/>
              </w:rPr>
            </w:pPr>
            <w:r>
              <w:rPr>
                <w:rFonts w:hint="eastAsia" w:ascii="仿宋" w:hAnsi="仿宋" w:cs="仿宋"/>
                <w:bCs/>
              </w:rPr>
              <w:t>对供应商提供的具体实施方案进行评审，根据项目实施进度、质量保证措施等进行综合评审，每项完全满足得3分，满分6分，每有一项不足扣1分。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638" w:type="dxa"/>
            <w:vMerge w:val="restart"/>
            <w:tcBorders>
              <w:top w:val="single" w:color="000000" w:sz="6" w:space="0"/>
              <w:left w:val="double" w:color="000000" w:sz="6" w:space="0"/>
              <w:bottom w:val="doub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商务</w:t>
            </w:r>
          </w:p>
          <w:p>
            <w:pPr>
              <w:spacing w:line="440" w:lineRule="exact"/>
              <w:ind w:firstLine="0" w:firstLineChars="0"/>
              <w:jc w:val="center"/>
              <w:rPr>
                <w:rFonts w:ascii="仿宋" w:hAnsi="仿宋" w:cs="仿宋"/>
                <w:bCs/>
                <w:szCs w:val="24"/>
              </w:rPr>
            </w:pPr>
            <w:r>
              <w:rPr>
                <w:rFonts w:hint="eastAsia" w:ascii="仿宋" w:hAnsi="仿宋" w:cs="仿宋"/>
                <w:bCs/>
                <w:szCs w:val="24"/>
              </w:rPr>
              <w:t>部分</w:t>
            </w:r>
          </w:p>
          <w:p>
            <w:pPr>
              <w:spacing w:line="440" w:lineRule="exact"/>
              <w:ind w:firstLine="0" w:firstLineChars="0"/>
              <w:jc w:val="center"/>
              <w:rPr>
                <w:rFonts w:ascii="仿宋" w:hAnsi="仿宋" w:cs="仿宋"/>
                <w:bCs/>
                <w:szCs w:val="24"/>
              </w:rPr>
            </w:pPr>
            <w:r>
              <w:rPr>
                <w:rFonts w:hint="eastAsia" w:ascii="仿宋" w:hAnsi="仿宋" w:cs="仿宋"/>
                <w:bCs/>
                <w:szCs w:val="24"/>
              </w:rPr>
              <w:t>11分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业绩</w:t>
            </w:r>
          </w:p>
          <w:p>
            <w:pPr>
              <w:spacing w:line="440" w:lineRule="exact"/>
              <w:ind w:firstLine="0" w:firstLineChars="0"/>
              <w:jc w:val="center"/>
              <w:rPr>
                <w:rFonts w:ascii="仿宋" w:hAnsi="仿宋" w:cs="仿宋"/>
                <w:bCs/>
                <w:szCs w:val="24"/>
              </w:rPr>
            </w:pPr>
            <w:r>
              <w:rPr>
                <w:rFonts w:hint="eastAsia" w:ascii="仿宋" w:hAnsi="仿宋" w:cs="仿宋"/>
                <w:bCs/>
                <w:szCs w:val="24"/>
              </w:rPr>
              <w:t>3分</w:t>
            </w:r>
          </w:p>
        </w:tc>
        <w:tc>
          <w:tcPr>
            <w:tcW w:w="7893" w:type="dxa"/>
            <w:tcBorders>
              <w:top w:val="single" w:color="000000" w:sz="6" w:space="0"/>
              <w:left w:val="single" w:color="000000" w:sz="6" w:space="0"/>
              <w:bottom w:val="single" w:color="000000" w:sz="6" w:space="0"/>
              <w:right w:val="double" w:color="000000" w:sz="6" w:space="0"/>
            </w:tcBorders>
            <w:vAlign w:val="center"/>
          </w:tcPr>
          <w:p>
            <w:pPr>
              <w:pStyle w:val="12"/>
              <w:spacing w:after="0" w:line="480" w:lineRule="exact"/>
              <w:ind w:firstLine="0" w:firstLineChars="0"/>
              <w:rPr>
                <w:rFonts w:ascii="仿宋" w:hAnsi="仿宋" w:cs="仿宋"/>
                <w:bCs/>
              </w:rPr>
            </w:pPr>
            <w:r>
              <w:rPr>
                <w:rFonts w:hint="eastAsia" w:ascii="仿宋" w:hAnsi="仿宋" w:cs="仿宋"/>
                <w:bCs/>
              </w:rPr>
              <w:t>根据供应商所投产品近三年</w:t>
            </w:r>
            <w:r>
              <w:rPr>
                <w:rFonts w:hint="eastAsia" w:ascii="仿宋" w:hAnsi="仿宋" w:cs="仿宋"/>
                <w:bCs/>
                <w:lang w:eastAsia="zh-CN"/>
              </w:rPr>
              <w:t>（核心产品）</w:t>
            </w:r>
            <w:r>
              <w:rPr>
                <w:rFonts w:hint="eastAsia" w:ascii="仿宋" w:hAnsi="仿宋" w:cs="仿宋"/>
                <w:bCs/>
              </w:rPr>
              <w:t>（2020年</w:t>
            </w:r>
            <w:r>
              <w:rPr>
                <w:rFonts w:hint="eastAsia" w:ascii="仿宋" w:hAnsi="仿宋" w:cs="仿宋"/>
                <w:bCs/>
                <w:lang w:val="en-US" w:eastAsia="zh-CN"/>
              </w:rPr>
              <w:t>7</w:t>
            </w:r>
            <w:r>
              <w:rPr>
                <w:rFonts w:hint="eastAsia" w:ascii="仿宋" w:hAnsi="仿宋" w:cs="仿宋"/>
                <w:bCs/>
              </w:rPr>
              <w:t>月至投标截止日止，以合同签订时间为准）完成同类项目的业绩，每提供1项业绩得1分，最高得3分。</w:t>
            </w:r>
          </w:p>
          <w:p>
            <w:pPr>
              <w:spacing w:line="440" w:lineRule="exact"/>
              <w:ind w:firstLine="0" w:firstLineChars="0"/>
              <w:rPr>
                <w:rFonts w:ascii="仿宋" w:hAnsi="仿宋" w:cs="仿宋"/>
                <w:bCs/>
                <w:szCs w:val="24"/>
              </w:rPr>
            </w:pPr>
            <w:r>
              <w:rPr>
                <w:rFonts w:hint="eastAsia" w:ascii="仿宋" w:hAnsi="仿宋" w:cs="仿宋"/>
                <w:bCs/>
                <w:szCs w:val="24"/>
              </w:rPr>
              <w:t>注 1.合同中需反映出签约双方名称及公章、签约时间、设备名称、型号。</w:t>
            </w:r>
          </w:p>
          <w:p>
            <w:pPr>
              <w:spacing w:line="440" w:lineRule="exact"/>
              <w:ind w:firstLine="0" w:firstLineChars="0"/>
              <w:rPr>
                <w:rFonts w:ascii="仿宋" w:hAnsi="仿宋" w:cs="仿宋"/>
                <w:bCs/>
                <w:szCs w:val="24"/>
              </w:rPr>
            </w:pPr>
            <w:r>
              <w:rPr>
                <w:rFonts w:hint="eastAsia" w:ascii="仿宋" w:hAnsi="仿宋" w:cs="仿宋"/>
                <w:bCs/>
                <w:szCs w:val="24"/>
              </w:rPr>
              <w:t>注 2. 国内销售业绩：制造商或其他代理商销售业绩均可。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ascii="仿宋" w:hAnsi="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服务支持</w:t>
            </w:r>
          </w:p>
          <w:p>
            <w:pPr>
              <w:spacing w:line="440" w:lineRule="exact"/>
              <w:ind w:firstLine="0" w:firstLineChars="0"/>
              <w:jc w:val="center"/>
              <w:rPr>
                <w:rFonts w:ascii="仿宋" w:hAnsi="仿宋" w:cs="仿宋"/>
                <w:bCs/>
                <w:szCs w:val="24"/>
              </w:rPr>
            </w:pPr>
            <w:r>
              <w:rPr>
                <w:rFonts w:hint="eastAsia" w:ascii="仿宋" w:hAnsi="仿宋" w:cs="仿宋"/>
                <w:bCs/>
                <w:szCs w:val="24"/>
              </w:rPr>
              <w:t>5分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ascii="仿宋" w:hAnsi="仿宋" w:cs="仿宋"/>
                <w:bCs/>
                <w:szCs w:val="24"/>
              </w:rPr>
            </w:pPr>
            <w:r>
              <w:rPr>
                <w:rFonts w:hint="eastAsia" w:ascii="仿宋" w:hAnsi="仿宋" w:cs="仿宋"/>
                <w:bCs/>
                <w:szCs w:val="24"/>
              </w:rPr>
              <w:t>根据招标要求和投标技术响应情况，对供应商提供的①售后服务方案、②响应时间、③技术力量等三方面综合评价，满分5分，每存在一处不合理、瑕疵、不完善扣1分，扣完为止。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ascii="仿宋" w:hAnsi="仿宋" w:cs="仿宋"/>
                <w:bCs/>
                <w:szCs w:val="24"/>
              </w:rPr>
            </w:pPr>
          </w:p>
        </w:tc>
        <w:tc>
          <w:tcPr>
            <w:tcW w:w="1324" w:type="dxa"/>
            <w:tcBorders>
              <w:top w:val="single" w:color="000000" w:sz="6" w:space="0"/>
              <w:left w:val="single" w:color="000000" w:sz="6" w:space="0"/>
              <w:bottom w:val="doub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质保期</w:t>
            </w:r>
          </w:p>
          <w:p>
            <w:pPr>
              <w:spacing w:line="440" w:lineRule="exact"/>
              <w:ind w:firstLine="0" w:firstLineChars="0"/>
              <w:jc w:val="center"/>
              <w:rPr>
                <w:rFonts w:ascii="仿宋" w:hAnsi="仿宋" w:cs="仿宋"/>
                <w:bCs/>
                <w:szCs w:val="24"/>
              </w:rPr>
            </w:pPr>
            <w:r>
              <w:rPr>
                <w:rFonts w:hint="eastAsia" w:ascii="仿宋" w:hAnsi="仿宋" w:cs="仿宋"/>
                <w:bCs/>
                <w:szCs w:val="24"/>
              </w:rPr>
              <w:t>3分</w:t>
            </w:r>
          </w:p>
        </w:tc>
        <w:tc>
          <w:tcPr>
            <w:tcW w:w="7893" w:type="dxa"/>
            <w:tcBorders>
              <w:top w:val="single" w:color="000000" w:sz="6" w:space="0"/>
              <w:left w:val="single" w:color="000000" w:sz="6" w:space="0"/>
              <w:bottom w:val="double" w:color="000000" w:sz="6" w:space="0"/>
              <w:right w:val="double" w:color="000000" w:sz="6" w:space="0"/>
            </w:tcBorders>
            <w:vAlign w:val="center"/>
          </w:tcPr>
          <w:p>
            <w:pPr>
              <w:spacing w:line="440" w:lineRule="exact"/>
              <w:ind w:firstLine="0" w:firstLineChars="0"/>
              <w:rPr>
                <w:rFonts w:ascii="仿宋" w:hAnsi="仿宋" w:cs="仿宋"/>
                <w:bCs/>
                <w:szCs w:val="24"/>
              </w:rPr>
            </w:pPr>
            <w:r>
              <w:rPr>
                <w:rFonts w:hint="eastAsia" w:ascii="仿宋" w:hAnsi="仿宋" w:cs="仿宋"/>
                <w:bCs/>
              </w:rPr>
              <w:t>质保期满足招标文件要求得0分，超过招标文件要求的，每多一年得1分，最多得3分。</w:t>
            </w:r>
          </w:p>
        </w:tc>
      </w:tr>
    </w:tbl>
    <w:p>
      <w:pPr>
        <w:ind w:firstLine="562"/>
        <w:rPr>
          <w:rFonts w:ascii="仿宋" w:hAnsi="仿宋" w:cs="仿宋"/>
          <w:b/>
          <w:sz w:val="28"/>
          <w:szCs w:val="28"/>
        </w:rPr>
      </w:pPr>
      <w:r>
        <w:rPr>
          <w:rFonts w:hint="eastAsia" w:ascii="仿宋" w:hAnsi="仿宋" w:cs="仿宋"/>
          <w:b/>
          <w:sz w:val="28"/>
          <w:szCs w:val="28"/>
        </w:rPr>
        <w:br w:type="page"/>
      </w:r>
    </w:p>
    <w:p>
      <w:pPr>
        <w:ind w:firstLine="562"/>
        <w:outlineLvl w:val="1"/>
        <w:rPr>
          <w:rFonts w:ascii="仿宋" w:hAnsi="仿宋" w:cs="仿宋"/>
          <w:b/>
          <w:sz w:val="28"/>
          <w:szCs w:val="28"/>
        </w:rPr>
      </w:pPr>
      <w:r>
        <w:rPr>
          <w:rFonts w:hint="eastAsia" w:ascii="仿宋" w:hAnsi="仿宋" w:cs="仿宋"/>
          <w:b/>
          <w:sz w:val="28"/>
          <w:szCs w:val="28"/>
        </w:rPr>
        <w:t>三、初步审查属于无效投标的条款</w:t>
      </w:r>
      <w:bookmarkEnd w:id="13"/>
      <w:bookmarkEnd w:id="14"/>
      <w:bookmarkEnd w:id="15"/>
    </w:p>
    <w:p>
      <w:pPr>
        <w:pStyle w:val="33"/>
        <w:spacing w:line="360" w:lineRule="auto"/>
        <w:ind w:firstLine="480"/>
        <w:rPr>
          <w:rFonts w:ascii="仿宋" w:hAnsi="仿宋" w:cs="仿宋"/>
        </w:rPr>
      </w:pPr>
      <w:r>
        <w:rPr>
          <w:rFonts w:hint="eastAsia" w:ascii="仿宋" w:hAnsi="仿宋" w:cs="仿宋"/>
        </w:rPr>
        <w:t>★投标文件有以下情况之一的，在资格性和符合性审查时按无效投标处理，不得进入详细评审阶段：</w:t>
      </w:r>
    </w:p>
    <w:p>
      <w:pPr>
        <w:pStyle w:val="33"/>
        <w:spacing w:line="360" w:lineRule="auto"/>
        <w:ind w:firstLine="480"/>
        <w:rPr>
          <w:rFonts w:ascii="仿宋" w:hAnsi="仿宋" w:cs="仿宋"/>
        </w:rPr>
      </w:pPr>
      <w:r>
        <w:rPr>
          <w:rFonts w:hint="eastAsia" w:ascii="仿宋" w:hAnsi="仿宋" w:cs="仿宋"/>
        </w:rPr>
        <w:t>1、不具备招标文件中规定的资格要求的；</w:t>
      </w:r>
    </w:p>
    <w:p>
      <w:pPr>
        <w:pStyle w:val="33"/>
        <w:spacing w:line="360" w:lineRule="auto"/>
        <w:ind w:firstLine="480"/>
        <w:rPr>
          <w:rFonts w:ascii="仿宋" w:hAnsi="仿宋" w:cs="仿宋"/>
        </w:rPr>
      </w:pPr>
      <w:r>
        <w:rPr>
          <w:rFonts w:hint="eastAsia" w:ascii="仿宋" w:hAnsi="仿宋" w:cs="仿宋"/>
        </w:rPr>
        <w:t>2、未从采购代理机构报名并取得招标文件的；</w:t>
      </w:r>
    </w:p>
    <w:p>
      <w:pPr>
        <w:pStyle w:val="33"/>
        <w:spacing w:line="360" w:lineRule="auto"/>
        <w:ind w:firstLine="480"/>
        <w:rPr>
          <w:rFonts w:ascii="仿宋" w:hAnsi="仿宋" w:cs="仿宋"/>
        </w:rPr>
      </w:pPr>
      <w:r>
        <w:rPr>
          <w:rFonts w:hint="eastAsia" w:ascii="仿宋" w:hAnsi="仿宋" w:cs="仿宋"/>
        </w:rPr>
        <w:t>3、投标文件未按招标文件规定要求编制、签署、盖章的；</w:t>
      </w:r>
    </w:p>
    <w:p>
      <w:pPr>
        <w:pStyle w:val="33"/>
        <w:spacing w:line="360" w:lineRule="auto"/>
        <w:ind w:firstLine="480"/>
        <w:rPr>
          <w:rFonts w:ascii="仿宋" w:hAnsi="仿宋" w:cs="仿宋"/>
        </w:rPr>
      </w:pPr>
      <w:r>
        <w:rPr>
          <w:rFonts w:hint="eastAsia" w:ascii="仿宋" w:hAnsi="仿宋" w:cs="仿宋"/>
        </w:rPr>
        <w:t>4、投标有效期不满足招标文件要求的；</w:t>
      </w:r>
    </w:p>
    <w:p>
      <w:pPr>
        <w:pStyle w:val="33"/>
        <w:spacing w:line="360" w:lineRule="auto"/>
        <w:ind w:firstLine="480"/>
        <w:rPr>
          <w:rFonts w:ascii="仿宋" w:hAnsi="仿宋" w:cs="仿宋"/>
        </w:rPr>
      </w:pPr>
      <w:r>
        <w:rPr>
          <w:rFonts w:hint="eastAsia" w:ascii="仿宋" w:hAnsi="仿宋" w:cs="仿宋"/>
        </w:rPr>
        <w:t>5、投标文件含有采购人不能接受的附加条件的；</w:t>
      </w:r>
    </w:p>
    <w:p>
      <w:pPr>
        <w:pStyle w:val="33"/>
        <w:spacing w:line="360" w:lineRule="auto"/>
        <w:ind w:firstLine="480"/>
        <w:rPr>
          <w:rFonts w:ascii="仿宋" w:hAnsi="仿宋" w:cs="仿宋"/>
        </w:rPr>
      </w:pPr>
      <w:r>
        <w:rPr>
          <w:rFonts w:hint="eastAsia" w:ascii="仿宋" w:hAnsi="仿宋" w:cs="仿宋"/>
        </w:rPr>
        <w:t>6、未按招标文件要求报价的；</w:t>
      </w:r>
    </w:p>
    <w:p>
      <w:pPr>
        <w:pStyle w:val="33"/>
        <w:spacing w:line="360" w:lineRule="auto"/>
        <w:ind w:firstLine="480"/>
        <w:rPr>
          <w:rFonts w:ascii="仿宋" w:hAnsi="仿宋" w:cs="仿宋"/>
        </w:rPr>
      </w:pPr>
      <w:r>
        <w:rPr>
          <w:rFonts w:hint="eastAsia" w:ascii="仿宋" w:hAnsi="仿宋" w:cs="仿宋"/>
        </w:rPr>
        <w:t>7、报价超过招标文件中规定的预算金额或者最高限价的；</w:t>
      </w:r>
    </w:p>
    <w:p>
      <w:pPr>
        <w:pStyle w:val="33"/>
        <w:spacing w:line="360" w:lineRule="auto"/>
        <w:ind w:firstLine="480"/>
        <w:rPr>
          <w:rFonts w:ascii="仿宋" w:hAnsi="仿宋" w:cs="仿宋"/>
        </w:rPr>
      </w:pPr>
      <w:r>
        <w:rPr>
          <w:rFonts w:hint="eastAsia" w:ascii="仿宋" w:hAnsi="仿宋" w:cs="仿宋"/>
        </w:rPr>
        <w:t>8、未经许可，以进口产品参与投标的；</w:t>
      </w:r>
    </w:p>
    <w:p>
      <w:pPr>
        <w:pStyle w:val="33"/>
        <w:spacing w:line="360" w:lineRule="auto"/>
        <w:ind w:firstLine="480"/>
        <w:rPr>
          <w:rFonts w:ascii="仿宋" w:hAnsi="仿宋" w:cs="仿宋"/>
        </w:rPr>
      </w:pPr>
      <w:r>
        <w:rPr>
          <w:rFonts w:hint="eastAsia" w:ascii="仿宋" w:hAnsi="仿宋" w:cs="仿宋"/>
        </w:rPr>
        <w:t>9、投标文件没有对招标文件的实质性要求部分（包含投标人须知附表要求部分）和条件或标注★部分作出响应或响应不全面、不规范的；</w:t>
      </w:r>
    </w:p>
    <w:p>
      <w:pPr>
        <w:pStyle w:val="33"/>
        <w:spacing w:line="360" w:lineRule="auto"/>
        <w:ind w:firstLine="480"/>
        <w:rPr>
          <w:rFonts w:ascii="仿宋" w:hAnsi="仿宋" w:cs="仿宋"/>
        </w:rPr>
      </w:pPr>
      <w:r>
        <w:rPr>
          <w:rFonts w:hint="eastAsia" w:ascii="仿宋" w:hAnsi="仿宋" w:cs="仿宋"/>
        </w:rPr>
        <w:t>10、有重大偏离且采购人不能接受的；</w:t>
      </w:r>
    </w:p>
    <w:p>
      <w:pPr>
        <w:pStyle w:val="33"/>
        <w:spacing w:line="360" w:lineRule="auto"/>
        <w:ind w:firstLine="480"/>
        <w:rPr>
          <w:rFonts w:ascii="仿宋" w:hAnsi="仿宋" w:cs="仿宋"/>
        </w:rPr>
      </w:pPr>
      <w:r>
        <w:rPr>
          <w:rFonts w:hint="eastAsia" w:ascii="仿宋" w:hAnsi="仿宋" w:cs="仿宋"/>
        </w:rPr>
        <w:t>11、不提供招标文件要求的任何形式技术资料的；</w:t>
      </w:r>
    </w:p>
    <w:p>
      <w:pPr>
        <w:pStyle w:val="33"/>
        <w:spacing w:line="360" w:lineRule="auto"/>
        <w:ind w:firstLine="480"/>
        <w:rPr>
          <w:rFonts w:ascii="仿宋" w:hAnsi="仿宋" w:cs="仿宋"/>
        </w:rPr>
      </w:pPr>
      <w:r>
        <w:rPr>
          <w:rFonts w:hint="eastAsia" w:ascii="仿宋" w:hAnsi="仿宋" w:cs="仿宋"/>
        </w:rPr>
        <w:t>12、同一投标人提交两个以上不同的投标文件或者投标报价，但招标文件要求提交备选方案的除外；</w:t>
      </w:r>
    </w:p>
    <w:p>
      <w:pPr>
        <w:pStyle w:val="33"/>
        <w:spacing w:line="360" w:lineRule="auto"/>
        <w:ind w:firstLine="480"/>
        <w:rPr>
          <w:rFonts w:ascii="仿宋" w:hAnsi="仿宋" w:cs="仿宋"/>
        </w:rPr>
      </w:pPr>
      <w:r>
        <w:rPr>
          <w:rFonts w:hint="eastAsia" w:ascii="仿宋" w:hAnsi="仿宋" w:cs="仿宋"/>
        </w:rPr>
        <w:t>13、法律、法规和招标文件规定的其他无效情形。</w:t>
      </w:r>
    </w:p>
    <w:p>
      <w:pPr>
        <w:pStyle w:val="33"/>
        <w:spacing w:line="360" w:lineRule="auto"/>
        <w:ind w:firstLine="480"/>
        <w:rPr>
          <w:rFonts w:ascii="仿宋" w:hAnsi="仿宋" w:cs="仿宋"/>
        </w:rPr>
      </w:pPr>
    </w:p>
    <w:p>
      <w:pPr>
        <w:pStyle w:val="33"/>
        <w:spacing w:line="360" w:lineRule="auto"/>
        <w:ind w:firstLine="480"/>
        <w:rPr>
          <w:rFonts w:ascii="仿宋" w:hAnsi="仿宋" w:cs="仿宋"/>
        </w:rPr>
      </w:pPr>
    </w:p>
    <w:p>
      <w:pPr>
        <w:pStyle w:val="33"/>
        <w:spacing w:line="360" w:lineRule="auto"/>
        <w:ind w:firstLine="480"/>
        <w:rPr>
          <w:rFonts w:ascii="仿宋" w:hAnsi="仿宋" w:cs="仿宋"/>
        </w:rPr>
      </w:pPr>
    </w:p>
    <w:p>
      <w:pPr>
        <w:pStyle w:val="33"/>
        <w:spacing w:line="360" w:lineRule="auto"/>
        <w:ind w:firstLine="480"/>
        <w:rPr>
          <w:rFonts w:ascii="仿宋" w:hAnsi="仿宋" w:cs="仿宋"/>
        </w:rPr>
      </w:pPr>
    </w:p>
    <w:p>
      <w:pPr>
        <w:widowControl/>
        <w:spacing w:line="240" w:lineRule="auto"/>
        <w:ind w:firstLine="0" w:firstLineChars="0"/>
        <w:rPr>
          <w:rFonts w:ascii="仿宋" w:hAnsi="仿宋" w:cs="仿宋"/>
          <w:b/>
          <w:sz w:val="32"/>
          <w:szCs w:val="32"/>
        </w:rPr>
        <w:sectPr>
          <w:footerReference r:id="rId11" w:type="default"/>
          <w:pgSz w:w="11906" w:h="16838"/>
          <w:pgMar w:top="1134" w:right="991" w:bottom="1440" w:left="1276" w:header="851" w:footer="992" w:gutter="0"/>
          <w:cols w:space="425" w:num="1"/>
          <w:docGrid w:type="lines" w:linePitch="312" w:charSpace="0"/>
        </w:sectPr>
      </w:pPr>
      <w:bookmarkStart w:id="16" w:name="_Toc69110208"/>
    </w:p>
    <w:bookmarkEnd w:id="16"/>
    <w:p>
      <w:pPr>
        <w:ind w:firstLine="0" w:firstLineChars="0"/>
        <w:jc w:val="center"/>
        <w:outlineLvl w:val="0"/>
        <w:rPr>
          <w:rFonts w:ascii="仿宋" w:hAnsi="仿宋" w:cs="仿宋"/>
          <w:b/>
          <w:sz w:val="32"/>
          <w:szCs w:val="32"/>
        </w:rPr>
      </w:pPr>
      <w:bookmarkStart w:id="17" w:name="_Toc106784524"/>
      <w:bookmarkStart w:id="18" w:name="_Toc106784597"/>
      <w:r>
        <w:rPr>
          <w:rFonts w:hint="eastAsia" w:ascii="仿宋" w:hAnsi="仿宋" w:cs="仿宋"/>
          <w:b/>
          <w:sz w:val="32"/>
          <w:szCs w:val="32"/>
        </w:rPr>
        <w:t>第八部分技术要求及说明</w:t>
      </w:r>
      <w:bookmarkEnd w:id="17"/>
      <w:bookmarkEnd w:id="18"/>
    </w:p>
    <w:p>
      <w:pPr>
        <w:pStyle w:val="33"/>
        <w:spacing w:line="360" w:lineRule="auto"/>
        <w:ind w:firstLine="0" w:firstLineChars="0"/>
        <w:rPr>
          <w:rFonts w:ascii="仿宋" w:hAnsi="仿宋" w:cs="仿宋"/>
          <w:bCs/>
          <w:szCs w:val="24"/>
        </w:rPr>
      </w:pPr>
      <w:r>
        <w:rPr>
          <w:rFonts w:hint="eastAsia" w:ascii="仿宋" w:hAnsi="仿宋" w:cs="仿宋"/>
          <w:b/>
          <w:szCs w:val="24"/>
        </w:rPr>
        <w:t>一、项目总体说明</w:t>
      </w:r>
    </w:p>
    <w:p>
      <w:pPr>
        <w:pStyle w:val="33"/>
        <w:spacing w:line="360" w:lineRule="auto"/>
        <w:ind w:firstLine="480"/>
        <w:rPr>
          <w:rFonts w:ascii="仿宋" w:hAnsi="仿宋" w:cs="仿宋"/>
          <w:bCs/>
          <w:szCs w:val="24"/>
        </w:rPr>
      </w:pPr>
      <w:r>
        <w:rPr>
          <w:rFonts w:hint="eastAsia" w:ascii="仿宋" w:hAnsi="仿宋" w:cs="仿宋"/>
          <w:bCs/>
          <w:szCs w:val="24"/>
        </w:rPr>
        <w:t>1、本项目所招设备未标识允许进口产品参与投标的，不允许进口产品参与投标。</w:t>
      </w:r>
    </w:p>
    <w:p>
      <w:pPr>
        <w:pStyle w:val="33"/>
        <w:spacing w:line="360" w:lineRule="auto"/>
        <w:ind w:firstLine="480"/>
        <w:rPr>
          <w:rFonts w:ascii="仿宋" w:hAnsi="仿宋" w:cs="仿宋"/>
          <w:bCs/>
          <w:szCs w:val="24"/>
        </w:rPr>
      </w:pPr>
      <w:r>
        <w:rPr>
          <w:rFonts w:hint="eastAsia" w:ascii="仿宋" w:hAnsi="仿宋" w:cs="仿宋"/>
          <w:bCs/>
          <w:szCs w:val="24"/>
        </w:rPr>
        <w:t>2、本项目各包均为交钥匙工程，</w:t>
      </w:r>
      <w:r>
        <w:rPr>
          <w:rFonts w:hint="eastAsia" w:ascii="仿宋" w:hAnsi="仿宋" w:cs="仿宋"/>
          <w:szCs w:val="24"/>
        </w:rPr>
        <w:t>与用户现有信息系统连接，费用包含在报价内。</w:t>
      </w:r>
    </w:p>
    <w:p>
      <w:pPr>
        <w:pStyle w:val="33"/>
        <w:spacing w:line="360" w:lineRule="auto"/>
        <w:ind w:firstLine="0" w:firstLineChars="0"/>
        <w:rPr>
          <w:rFonts w:ascii="仿宋" w:hAnsi="仿宋" w:cs="仿宋"/>
          <w:b/>
          <w:szCs w:val="24"/>
        </w:rPr>
      </w:pPr>
      <w:r>
        <w:rPr>
          <w:rFonts w:hint="eastAsia" w:ascii="仿宋" w:hAnsi="仿宋" w:cs="仿宋"/>
          <w:b/>
          <w:szCs w:val="24"/>
        </w:rPr>
        <w:t>二、技术参数要求</w:t>
      </w:r>
    </w:p>
    <w:p>
      <w:pPr>
        <w:ind w:firstLine="480"/>
        <w:rPr>
          <w:rFonts w:eastAsia="宋体"/>
        </w:rPr>
      </w:pPr>
      <w:r>
        <w:rPr>
          <w:rFonts w:hint="eastAsia"/>
        </w:rPr>
        <w:t xml:space="preserve">A包  预算：128万元 </w:t>
      </w:r>
    </w:p>
    <w:tbl>
      <w:tblPr>
        <w:tblStyle w:val="23"/>
        <w:tblW w:w="4993" w:type="pct"/>
        <w:tblInd w:w="0" w:type="dxa"/>
        <w:tblLayout w:type="autofit"/>
        <w:tblCellMar>
          <w:top w:w="0" w:type="dxa"/>
          <w:left w:w="108" w:type="dxa"/>
          <w:bottom w:w="0" w:type="dxa"/>
          <w:right w:w="108" w:type="dxa"/>
        </w:tblCellMar>
      </w:tblPr>
      <w:tblGrid>
        <w:gridCol w:w="755"/>
        <w:gridCol w:w="1156"/>
        <w:gridCol w:w="1209"/>
        <w:gridCol w:w="6720"/>
      </w:tblGrid>
      <w:tr>
        <w:trPr>
          <w:trHeight w:val="955" w:hRule="atLeast"/>
        </w:trPr>
        <w:tc>
          <w:tcPr>
            <w:tcW w:w="384" w:type="pct"/>
            <w:tcBorders>
              <w:top w:val="single" w:color="000000" w:sz="4" w:space="0"/>
              <w:left w:val="single" w:color="000000" w:sz="4" w:space="0"/>
              <w:bottom w:val="single" w:color="000000" w:sz="4" w:space="0"/>
              <w:right w:val="single" w:color="000000" w:sz="4" w:space="0"/>
            </w:tcBorders>
            <w:vAlign w:val="center"/>
          </w:tcPr>
          <w:p>
            <w:pPr>
              <w:widowControl/>
              <w:ind w:firstLine="0" w:firstLineChars="0"/>
              <w:jc w:val="center"/>
              <w:textAlignment w:val="center"/>
              <w:rPr>
                <w:rFonts w:ascii="仿宋" w:hAnsi="仿宋" w:cs="仿宋"/>
                <w:b/>
                <w:bCs/>
                <w:color w:val="000000"/>
                <w:szCs w:val="24"/>
              </w:rPr>
            </w:pPr>
            <w:r>
              <w:rPr>
                <w:rFonts w:hint="eastAsia" w:ascii="仿宋" w:hAnsi="仿宋" w:cs="仿宋"/>
                <w:b/>
                <w:bCs/>
                <w:color w:val="000000"/>
                <w:kern w:val="0"/>
                <w:szCs w:val="24"/>
                <w:lang w:bidi="ar"/>
              </w:rPr>
              <w:t>序号</w:t>
            </w:r>
          </w:p>
        </w:tc>
        <w:tc>
          <w:tcPr>
            <w:tcW w:w="587" w:type="pct"/>
            <w:tcBorders>
              <w:top w:val="single" w:color="000000" w:sz="4" w:space="0"/>
              <w:left w:val="single" w:color="000000" w:sz="4" w:space="0"/>
              <w:bottom w:val="single" w:color="000000" w:sz="4" w:space="0"/>
              <w:right w:val="single" w:color="000000" w:sz="4" w:space="0"/>
            </w:tcBorders>
            <w:vAlign w:val="center"/>
          </w:tcPr>
          <w:p>
            <w:pPr>
              <w:widowControl/>
              <w:ind w:firstLine="0" w:firstLineChars="0"/>
              <w:jc w:val="center"/>
              <w:textAlignment w:val="center"/>
              <w:rPr>
                <w:rFonts w:ascii="仿宋" w:hAnsi="仿宋" w:cs="仿宋"/>
                <w:b/>
                <w:bCs/>
                <w:color w:val="000000"/>
                <w:szCs w:val="24"/>
              </w:rPr>
            </w:pPr>
            <w:r>
              <w:rPr>
                <w:rFonts w:hint="eastAsia" w:ascii="仿宋" w:hAnsi="仿宋" w:cs="仿宋"/>
                <w:b/>
                <w:bCs/>
                <w:color w:val="000000"/>
                <w:kern w:val="0"/>
                <w:szCs w:val="24"/>
                <w:lang w:bidi="ar"/>
              </w:rPr>
              <w:t>仪器设备名称</w:t>
            </w:r>
          </w:p>
        </w:tc>
        <w:tc>
          <w:tcPr>
            <w:tcW w:w="614" w:type="pct"/>
            <w:tcBorders>
              <w:top w:val="single" w:color="000000" w:sz="4" w:space="0"/>
              <w:left w:val="single" w:color="000000" w:sz="4" w:space="0"/>
              <w:bottom w:val="single" w:color="000000" w:sz="4" w:space="0"/>
              <w:right w:val="single" w:color="000000" w:sz="4" w:space="0"/>
            </w:tcBorders>
            <w:vAlign w:val="center"/>
          </w:tcPr>
          <w:p>
            <w:pPr>
              <w:widowControl/>
              <w:ind w:firstLine="0" w:firstLineChars="0"/>
              <w:jc w:val="center"/>
              <w:textAlignment w:val="center"/>
              <w:rPr>
                <w:rFonts w:ascii="仿宋" w:hAnsi="仿宋" w:cs="仿宋"/>
                <w:b/>
                <w:bCs/>
                <w:color w:val="000000"/>
                <w:szCs w:val="24"/>
              </w:rPr>
            </w:pPr>
            <w:r>
              <w:rPr>
                <w:rFonts w:hint="eastAsia" w:ascii="仿宋" w:hAnsi="仿宋" w:cs="仿宋"/>
                <w:b/>
                <w:bCs/>
                <w:color w:val="000000"/>
                <w:kern w:val="0"/>
                <w:szCs w:val="24"/>
                <w:lang w:bidi="ar"/>
              </w:rPr>
              <w:t>数量（套）</w:t>
            </w:r>
          </w:p>
        </w:tc>
        <w:tc>
          <w:tcPr>
            <w:tcW w:w="3413" w:type="pct"/>
            <w:tcBorders>
              <w:top w:val="single" w:color="000000" w:sz="4" w:space="0"/>
              <w:left w:val="single" w:color="000000" w:sz="4" w:space="0"/>
              <w:bottom w:val="single" w:color="000000" w:sz="4" w:space="0"/>
              <w:right w:val="single" w:color="000000" w:sz="4" w:space="0"/>
            </w:tcBorders>
            <w:vAlign w:val="center"/>
          </w:tcPr>
          <w:p>
            <w:pPr>
              <w:widowControl/>
              <w:ind w:firstLine="0" w:firstLineChars="0"/>
              <w:jc w:val="center"/>
              <w:textAlignment w:val="center"/>
              <w:rPr>
                <w:rFonts w:ascii="仿宋" w:hAnsi="仿宋" w:cs="仿宋"/>
                <w:b/>
                <w:bCs/>
                <w:color w:val="000000"/>
                <w:szCs w:val="24"/>
              </w:rPr>
            </w:pPr>
            <w:r>
              <w:rPr>
                <w:rFonts w:hint="eastAsia" w:ascii="仿宋" w:hAnsi="仿宋" w:cs="仿宋"/>
                <w:b/>
                <w:bCs/>
                <w:color w:val="000000"/>
                <w:kern w:val="0"/>
                <w:szCs w:val="24"/>
                <w:lang w:bidi="ar"/>
              </w:rPr>
              <w:t>参数</w:t>
            </w:r>
          </w:p>
        </w:tc>
      </w:tr>
      <w:tr>
        <w:tblPrEx>
          <w:tblCellMar>
            <w:top w:w="0" w:type="dxa"/>
            <w:left w:w="108" w:type="dxa"/>
            <w:bottom w:w="0" w:type="dxa"/>
            <w:right w:w="108" w:type="dxa"/>
          </w:tblCellMar>
        </w:tblPrEx>
        <w:trPr>
          <w:trHeight w:val="90" w:hRule="atLeast"/>
        </w:trPr>
        <w:tc>
          <w:tcPr>
            <w:tcW w:w="384" w:type="pct"/>
            <w:tcBorders>
              <w:top w:val="single" w:color="000000" w:sz="4" w:space="0"/>
              <w:left w:val="single" w:color="000000" w:sz="4" w:space="0"/>
              <w:bottom w:val="single" w:color="000000" w:sz="4" w:space="0"/>
              <w:right w:val="single" w:color="000000" w:sz="4" w:space="0"/>
            </w:tcBorders>
            <w:noWrap/>
            <w:vAlign w:val="center"/>
          </w:tcPr>
          <w:p>
            <w:pPr>
              <w:widowControl/>
              <w:ind w:firstLine="0" w:firstLineChars="0"/>
              <w:jc w:val="center"/>
              <w:textAlignment w:val="center"/>
              <w:rPr>
                <w:rFonts w:ascii="仿宋" w:hAnsi="仿宋" w:cs="仿宋"/>
                <w:color w:val="000000"/>
                <w:szCs w:val="24"/>
              </w:rPr>
            </w:pPr>
            <w:r>
              <w:rPr>
                <w:rFonts w:hint="eastAsia" w:ascii="仿宋" w:hAnsi="仿宋" w:cs="仿宋"/>
                <w:color w:val="000000"/>
                <w:kern w:val="0"/>
                <w:szCs w:val="24"/>
                <w:lang w:bidi="ar"/>
              </w:rPr>
              <w:t>1</w:t>
            </w:r>
          </w:p>
        </w:tc>
        <w:tc>
          <w:tcPr>
            <w:tcW w:w="587" w:type="pct"/>
            <w:tcBorders>
              <w:top w:val="single" w:color="000000" w:sz="4" w:space="0"/>
              <w:left w:val="single" w:color="000000" w:sz="4" w:space="0"/>
              <w:bottom w:val="single" w:color="000000" w:sz="4" w:space="0"/>
              <w:right w:val="single" w:color="000000" w:sz="4" w:space="0"/>
            </w:tcBorders>
            <w:vAlign w:val="center"/>
          </w:tcPr>
          <w:p>
            <w:pPr>
              <w:widowControl/>
              <w:ind w:firstLine="0" w:firstLineChars="0"/>
              <w:jc w:val="center"/>
              <w:textAlignment w:val="center"/>
              <w:rPr>
                <w:rFonts w:ascii="仿宋" w:hAnsi="仿宋" w:cs="仿宋"/>
                <w:b/>
                <w:bCs/>
                <w:color w:val="000000"/>
                <w:szCs w:val="24"/>
              </w:rPr>
            </w:pPr>
            <w:r>
              <w:rPr>
                <w:rFonts w:hint="eastAsia" w:ascii="仿宋" w:hAnsi="仿宋" w:cs="仿宋"/>
                <w:color w:val="000000"/>
                <w:kern w:val="0"/>
                <w:szCs w:val="24"/>
                <w:lang w:bidi="ar"/>
              </w:rPr>
              <w:t>人工智能GPU计算系统</w:t>
            </w:r>
          </w:p>
        </w:tc>
        <w:tc>
          <w:tcPr>
            <w:tcW w:w="614" w:type="pct"/>
            <w:tcBorders>
              <w:top w:val="single" w:color="000000" w:sz="4" w:space="0"/>
              <w:left w:val="single" w:color="000000" w:sz="4" w:space="0"/>
              <w:bottom w:val="single" w:color="000000" w:sz="4" w:space="0"/>
              <w:right w:val="single" w:color="000000" w:sz="4" w:space="0"/>
            </w:tcBorders>
            <w:noWrap/>
            <w:vAlign w:val="center"/>
          </w:tcPr>
          <w:p>
            <w:pPr>
              <w:widowControl/>
              <w:ind w:firstLine="0" w:firstLineChars="0"/>
              <w:jc w:val="center"/>
              <w:textAlignment w:val="center"/>
              <w:rPr>
                <w:rFonts w:ascii="仿宋" w:hAnsi="仿宋" w:cs="仿宋"/>
                <w:color w:val="000000"/>
                <w:kern w:val="0"/>
                <w:szCs w:val="24"/>
                <w:lang w:bidi="ar"/>
              </w:rPr>
            </w:pPr>
            <w:r>
              <w:rPr>
                <w:rFonts w:hint="eastAsia" w:ascii="仿宋" w:hAnsi="仿宋" w:cs="仿宋"/>
                <w:color w:val="000000"/>
                <w:kern w:val="0"/>
                <w:szCs w:val="24"/>
                <w:lang w:bidi="ar"/>
              </w:rPr>
              <w:t>1</w:t>
            </w:r>
          </w:p>
        </w:tc>
        <w:tc>
          <w:tcPr>
            <w:tcW w:w="3413" w:type="pct"/>
            <w:tcBorders>
              <w:top w:val="single" w:color="000000" w:sz="4" w:space="0"/>
              <w:left w:val="single" w:color="000000" w:sz="4" w:space="0"/>
              <w:bottom w:val="single" w:color="000000" w:sz="4" w:space="0"/>
              <w:right w:val="single" w:color="000000" w:sz="4" w:space="0"/>
            </w:tcBorders>
            <w:vAlign w:val="center"/>
          </w:tcPr>
          <w:p>
            <w:pPr>
              <w:widowControl/>
              <w:ind w:firstLine="0" w:firstLineChars="0"/>
              <w:textAlignment w:val="center"/>
              <w:rPr>
                <w:rFonts w:ascii="仿宋" w:hAnsi="仿宋" w:cs="仿宋"/>
                <w:color w:val="000000"/>
                <w:kern w:val="0"/>
                <w:szCs w:val="24"/>
                <w:lang w:bidi="ar"/>
              </w:rPr>
            </w:pPr>
            <w:r>
              <w:rPr>
                <w:rFonts w:hint="eastAsia" w:ascii="仿宋" w:hAnsi="仿宋" w:cs="仿宋"/>
                <w:color w:val="000000"/>
                <w:kern w:val="0"/>
                <w:szCs w:val="24"/>
                <w:lang w:bidi="ar"/>
              </w:rPr>
              <w:t>1、总体要求：GPU计算系统1个；非OEM台式工作站4台。</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 xml:space="preserve">2、GPU计算系统：GPU计算模块1套，算力监控软件1套。 </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（1）GPU计算模块：配置≥14张显卡，其中至少6张NVIDIA Tesla A100显卡，单卡显存≥80GB；至少8张NVIDIA RTX 4090显卡，单卡显存≥24GB；原厂盒装标准版，非工包、非定制；配电源接线。</w:t>
            </w:r>
          </w:p>
          <w:p>
            <w:pPr>
              <w:pStyle w:val="2"/>
              <w:ind w:left="0" w:leftChars="0" w:firstLine="0" w:firstLineChars="0"/>
              <w:rPr>
                <w:rFonts w:ascii="仿宋" w:hAnsi="仿宋" w:cs="仿宋"/>
                <w:color w:val="000000"/>
                <w:kern w:val="0"/>
                <w:szCs w:val="24"/>
                <w:lang w:bidi="ar"/>
              </w:rPr>
            </w:pPr>
            <w:r>
              <w:rPr>
                <w:rFonts w:hint="eastAsia" w:ascii="仿宋" w:hAnsi="仿宋" w:cs="仿宋"/>
                <w:color w:val="000000"/>
                <w:kern w:val="0"/>
                <w:szCs w:val="24"/>
                <w:lang w:bidi="ar"/>
              </w:rPr>
              <w:t>（2）算力监控软件：采用可视化技术，以web页面形式访问GPU资源，对GPU温度、显存使用率、读写速度、传输带宽、刷新频率等进行监控和预警；定时生成监控日志。</w:t>
            </w:r>
          </w:p>
          <w:p>
            <w:pPr>
              <w:pStyle w:val="2"/>
              <w:ind w:left="0" w:leftChars="0" w:firstLine="0" w:firstLineChars="0"/>
              <w:rPr>
                <w:rFonts w:ascii="仿宋" w:hAnsi="仿宋" w:cs="仿宋"/>
                <w:color w:val="000000"/>
                <w:kern w:val="0"/>
                <w:szCs w:val="24"/>
                <w:lang w:bidi="ar"/>
              </w:rPr>
            </w:pPr>
            <w:r>
              <w:rPr>
                <w:rFonts w:hint="eastAsia" w:ascii="仿宋" w:hAnsi="仿宋" w:cs="仿宋"/>
                <w:color w:val="000000"/>
                <w:kern w:val="0"/>
                <w:szCs w:val="24"/>
                <w:lang w:bidi="ar"/>
              </w:rPr>
              <w:t>3、台式工作站配置：</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 xml:space="preserve">（1）处理器：intel i9-13900K，24核心32线程； </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（2）内存：≥128GB DDR5内存；</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（3）硬盘：≥2T SSD+4T SAS；</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（4）显卡：独立显卡，型号NVIDIA Geforce RTX 4090系列，≥24GB显存；</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（5）台式标准机箱，整体模块化设计，前置接口USB 3.0≥2个；</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（6）显示器：≥27英寸4K升降高清显示器；</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（7）其他：适配电源，含电源、网线等接线、键鼠套装等外设；</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（8）操作系统：windows10专业版。</w:t>
            </w:r>
          </w:p>
        </w:tc>
      </w:tr>
      <w:tr>
        <w:tblPrEx>
          <w:tblCellMar>
            <w:top w:w="0" w:type="dxa"/>
            <w:left w:w="108" w:type="dxa"/>
            <w:bottom w:w="0" w:type="dxa"/>
            <w:right w:w="108" w:type="dxa"/>
          </w:tblCellMar>
        </w:tblPrEx>
        <w:trPr>
          <w:trHeight w:val="2329" w:hRule="atLeast"/>
        </w:trPr>
        <w:tc>
          <w:tcPr>
            <w:tcW w:w="384" w:type="pct"/>
            <w:tcBorders>
              <w:top w:val="single" w:color="000000" w:sz="4" w:space="0"/>
              <w:left w:val="single" w:color="000000" w:sz="4" w:space="0"/>
              <w:bottom w:val="single" w:color="000000" w:sz="4" w:space="0"/>
              <w:right w:val="single" w:color="000000" w:sz="4" w:space="0"/>
            </w:tcBorders>
            <w:noWrap/>
            <w:vAlign w:val="center"/>
          </w:tcPr>
          <w:p>
            <w:pPr>
              <w:widowControl/>
              <w:ind w:firstLine="0" w:firstLineChars="0"/>
              <w:jc w:val="right"/>
              <w:textAlignment w:val="center"/>
              <w:rPr>
                <w:rFonts w:ascii="仿宋" w:hAnsi="仿宋" w:cs="仿宋"/>
                <w:color w:val="000000"/>
                <w:szCs w:val="24"/>
              </w:rPr>
            </w:pPr>
            <w:r>
              <w:rPr>
                <w:rFonts w:hint="eastAsia" w:ascii="仿宋" w:hAnsi="仿宋" w:cs="仿宋"/>
                <w:color w:val="000000"/>
                <w:kern w:val="0"/>
                <w:szCs w:val="24"/>
                <w:lang w:bidi="ar"/>
              </w:rPr>
              <w:t>2</w:t>
            </w:r>
          </w:p>
        </w:tc>
        <w:tc>
          <w:tcPr>
            <w:tcW w:w="587" w:type="pct"/>
            <w:tcBorders>
              <w:top w:val="single" w:color="000000" w:sz="4" w:space="0"/>
              <w:left w:val="single" w:color="000000" w:sz="4" w:space="0"/>
              <w:bottom w:val="single" w:color="000000" w:sz="4" w:space="0"/>
              <w:right w:val="single" w:color="000000" w:sz="4" w:space="0"/>
            </w:tcBorders>
            <w:vAlign w:val="center"/>
          </w:tcPr>
          <w:p>
            <w:pPr>
              <w:widowControl/>
              <w:ind w:firstLine="0" w:firstLineChars="0"/>
              <w:textAlignment w:val="center"/>
              <w:rPr>
                <w:rFonts w:ascii="仿宋" w:hAnsi="仿宋" w:cs="仿宋"/>
                <w:color w:val="000000"/>
                <w:szCs w:val="24"/>
              </w:rPr>
            </w:pPr>
            <w:r>
              <w:rPr>
                <w:rFonts w:hint="eastAsia" w:ascii="仿宋" w:hAnsi="仿宋" w:cs="仿宋"/>
                <w:color w:val="000000"/>
                <w:kern w:val="0"/>
                <w:szCs w:val="24"/>
                <w:lang w:bidi="ar"/>
              </w:rPr>
              <w:t>NAS网络存储（核心产品）</w:t>
            </w:r>
          </w:p>
        </w:tc>
        <w:tc>
          <w:tcPr>
            <w:tcW w:w="614" w:type="pct"/>
            <w:tcBorders>
              <w:top w:val="single" w:color="000000" w:sz="4" w:space="0"/>
              <w:left w:val="single" w:color="000000" w:sz="4" w:space="0"/>
              <w:bottom w:val="single" w:color="000000" w:sz="4" w:space="0"/>
              <w:right w:val="single" w:color="000000" w:sz="4" w:space="0"/>
            </w:tcBorders>
            <w:noWrap/>
            <w:vAlign w:val="center"/>
          </w:tcPr>
          <w:p>
            <w:pPr>
              <w:widowControl/>
              <w:ind w:firstLine="0" w:firstLineChars="0"/>
              <w:jc w:val="center"/>
              <w:textAlignment w:val="center"/>
              <w:rPr>
                <w:rFonts w:ascii="仿宋" w:hAnsi="仿宋" w:cs="仿宋"/>
                <w:color w:val="000000"/>
                <w:szCs w:val="24"/>
              </w:rPr>
            </w:pPr>
            <w:r>
              <w:rPr>
                <w:rFonts w:hint="eastAsia" w:ascii="仿宋" w:hAnsi="仿宋" w:cs="仿宋"/>
                <w:color w:val="000000"/>
                <w:kern w:val="0"/>
                <w:szCs w:val="24"/>
                <w:lang w:bidi="ar"/>
              </w:rPr>
              <w:t>2</w:t>
            </w:r>
          </w:p>
        </w:tc>
        <w:tc>
          <w:tcPr>
            <w:tcW w:w="3413" w:type="pct"/>
            <w:tcBorders>
              <w:top w:val="single" w:color="000000" w:sz="4" w:space="0"/>
              <w:left w:val="single" w:color="000000" w:sz="4" w:space="0"/>
              <w:bottom w:val="single" w:color="000000" w:sz="4" w:space="0"/>
              <w:right w:val="single" w:color="000000" w:sz="4" w:space="0"/>
            </w:tcBorders>
            <w:vAlign w:val="center"/>
          </w:tcPr>
          <w:p>
            <w:pPr>
              <w:widowControl/>
              <w:ind w:firstLine="0" w:firstLineChars="0"/>
              <w:textAlignment w:val="center"/>
              <w:rPr>
                <w:rFonts w:ascii="仿宋" w:hAnsi="仿宋" w:cs="仿宋"/>
                <w:color w:val="000000"/>
                <w:szCs w:val="24"/>
              </w:rPr>
            </w:pPr>
            <w:r>
              <w:rPr>
                <w:rFonts w:hint="eastAsia" w:ascii="仿宋" w:hAnsi="仿宋" w:cs="仿宋"/>
                <w:color w:val="000000"/>
                <w:kern w:val="0"/>
                <w:szCs w:val="24"/>
                <w:lang w:bidi="ar"/>
              </w:rPr>
              <w:t>1、总体要求：≥4核心、≥8盘位网络存储；</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2、内存：≥32GB；</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3、硬盘：单盘容量≥16TB,总容量≥100TB；</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4、接口：USB 3.0≥2个，千兆网口≥2个，万兆网口≥1个；</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5、其他：配备电源线、网线等线材；</w:t>
            </w:r>
            <w:r>
              <w:rPr>
                <w:rFonts w:hint="eastAsia" w:ascii="仿宋" w:hAnsi="仿宋" w:cs="仿宋"/>
                <w:color w:val="000000"/>
                <w:kern w:val="0"/>
                <w:szCs w:val="24"/>
                <w:lang w:bidi="ar"/>
              </w:rPr>
              <w:br w:type="textWrapping"/>
            </w:r>
            <w:r>
              <w:rPr>
                <w:rFonts w:hint="eastAsia" w:ascii="仿宋" w:hAnsi="仿宋" w:cs="仿宋"/>
                <w:color w:val="000000"/>
                <w:kern w:val="0"/>
                <w:szCs w:val="24"/>
                <w:lang w:bidi="ar"/>
              </w:rPr>
              <w:t>6、支持群组空间划分、文件加密、docker等技术。</w:t>
            </w:r>
          </w:p>
        </w:tc>
      </w:tr>
    </w:tbl>
    <w:p>
      <w:pPr>
        <w:ind w:firstLine="0" w:firstLineChars="0"/>
        <w:rPr>
          <w:rFonts w:ascii="仿宋" w:hAnsi="仿宋" w:cs="仿宋"/>
          <w:b/>
          <w:bCs/>
        </w:rPr>
      </w:pPr>
      <w:r>
        <w:rPr>
          <w:rFonts w:hint="eastAsia" w:ascii="仿宋" w:hAnsi="仿宋" w:cs="仿宋"/>
          <w:b/>
          <w:bCs/>
        </w:rPr>
        <w:t>售后服务保障</w:t>
      </w:r>
    </w:p>
    <w:p>
      <w:pPr>
        <w:ind w:firstLine="480"/>
        <w:rPr>
          <w:rFonts w:ascii="仿宋" w:hAnsi="仿宋" w:cs="仿宋"/>
        </w:rPr>
      </w:pPr>
      <w:r>
        <w:rPr>
          <w:rFonts w:hint="eastAsia" w:ascii="仿宋" w:hAnsi="仿宋" w:cs="仿宋"/>
        </w:rPr>
        <w:t>1、质保期三年；负责设备终身维修，质保期过后，对仪器提供维修服务，收取合理费用。负责对用户技术人员进行免费现场或国内培训</w:t>
      </w:r>
    </w:p>
    <w:p>
      <w:pPr>
        <w:pStyle w:val="2"/>
        <w:ind w:left="0" w:leftChars="0" w:firstLine="480"/>
        <w:rPr>
          <w:rFonts w:ascii="仿宋" w:hAnsi="仿宋" w:cs="仿宋"/>
        </w:rPr>
      </w:pPr>
      <w:r>
        <w:rPr>
          <w:rFonts w:hint="eastAsia" w:ascii="仿宋" w:hAnsi="仿宋" w:cs="仿宋"/>
          <w:szCs w:val="24"/>
        </w:rPr>
        <w:t>2、交货期：签订合同后30个日历日供货（供应商可自报最快供货时间）。</w:t>
      </w:r>
    </w:p>
    <w:p>
      <w:pPr>
        <w:ind w:firstLine="480"/>
        <w:rPr>
          <w:rFonts w:ascii="仿宋" w:hAnsi="仿宋" w:cs="仿宋"/>
        </w:rPr>
      </w:pPr>
      <w:r>
        <w:rPr>
          <w:rFonts w:hint="eastAsia" w:ascii="仿宋" w:hAnsi="仿宋" w:cs="仿宋"/>
        </w:rPr>
        <w:t>3、交货地点：严格按照国家相关要求的运输方式送到用户指定地点。</w:t>
      </w:r>
    </w:p>
    <w:p>
      <w:pPr>
        <w:pStyle w:val="2"/>
        <w:ind w:left="0" w:leftChars="0" w:firstLine="480"/>
        <w:rPr>
          <w:rFonts w:ascii="仿宋" w:hAnsi="仿宋" w:cs="仿宋"/>
        </w:rPr>
      </w:pPr>
      <w:r>
        <w:rPr>
          <w:rFonts w:hint="eastAsia" w:ascii="仿宋" w:hAnsi="仿宋" w:cs="仿宋"/>
        </w:rPr>
        <w:t>4、付款方式：</w:t>
      </w:r>
    </w:p>
    <w:p>
      <w:pPr>
        <w:pStyle w:val="2"/>
        <w:ind w:left="0" w:leftChars="0" w:firstLine="480"/>
        <w:rPr>
          <w:rFonts w:ascii="宋体" w:hAnsi="宋体" w:cs="宋体"/>
        </w:rPr>
      </w:pPr>
      <w:r>
        <w:rPr>
          <w:rFonts w:hint="eastAsia" w:ascii="宋体" w:hAnsi="宋体" w:cs="宋体"/>
        </w:rPr>
        <w:t>国产设备：合同签订后</w:t>
      </w:r>
      <w:r>
        <w:rPr>
          <w:rFonts w:hint="eastAsia" w:ascii="宋体" w:hAnsi="宋体" w:cs="宋体"/>
          <w:lang w:val="en-US" w:eastAsia="zh-CN"/>
        </w:rPr>
        <w:t>3个工作日</w:t>
      </w:r>
      <w:r>
        <w:rPr>
          <w:rFonts w:hint="eastAsia" w:ascii="宋体" w:hAnsi="宋体" w:cs="宋体"/>
        </w:rPr>
        <w:t>成交供应商向采购人指定账户缴纳合同金额5%的履约保证金。在合同签订生效且具备实施条件后，成交供应商向项目负责人或指定人申请合同金额70%的预付款，采购人确定后7个工作日内支付。项目验收合格、审计定案（若需要）后7个工作日内，支付剩余合同货款。</w:t>
      </w:r>
    </w:p>
    <w:p>
      <w:pPr>
        <w:pStyle w:val="2"/>
        <w:ind w:left="0" w:leftChars="0" w:firstLine="480"/>
        <w:rPr>
          <w:rFonts w:ascii="仿宋" w:hAnsi="仿宋" w:cs="仿宋"/>
        </w:rPr>
      </w:pPr>
      <w:r>
        <w:rPr>
          <w:rFonts w:hint="eastAsia" w:ascii="仿宋" w:hAnsi="仿宋" w:cs="仿宋"/>
        </w:rPr>
        <w:t>5、1）履约保证金提交形式：电汇形式、银行汇票、履约保函</w:t>
      </w:r>
    </w:p>
    <w:p>
      <w:pPr>
        <w:ind w:firstLine="480"/>
        <w:rPr>
          <w:rFonts w:ascii="仿宋" w:hAnsi="仿宋" w:cs="仿宋"/>
        </w:rPr>
      </w:pPr>
      <w:r>
        <w:rPr>
          <w:rFonts w:hint="eastAsia" w:ascii="仿宋" w:hAnsi="仿宋" w:cs="仿宋"/>
        </w:rPr>
        <w:t>履约保证金在验收合格后满一年后，没有任何质量问题，由中标人向采购人提交申请，采购人根据履约情况无息退还给中标人</w:t>
      </w:r>
    </w:p>
    <w:p>
      <w:pPr>
        <w:ind w:firstLine="480"/>
        <w:rPr>
          <w:rFonts w:ascii="仿宋" w:hAnsi="仿宋" w:cs="仿宋"/>
        </w:rPr>
      </w:pPr>
      <w:r>
        <w:rPr>
          <w:rFonts w:hint="eastAsia" w:ascii="仿宋" w:hAnsi="仿宋" w:cs="仿宋"/>
        </w:rPr>
        <w:t>2）履约保证金缴纳信息;</w:t>
      </w:r>
    </w:p>
    <w:p>
      <w:pPr>
        <w:ind w:firstLine="480"/>
        <w:rPr>
          <w:rFonts w:ascii="仿宋" w:hAnsi="仿宋" w:cs="仿宋"/>
        </w:rPr>
      </w:pPr>
      <w:r>
        <w:rPr>
          <w:rFonts w:hint="eastAsia" w:ascii="仿宋" w:hAnsi="仿宋" w:cs="仿宋"/>
        </w:rPr>
        <w:t>户  名：山东第一医科大学</w:t>
      </w:r>
    </w:p>
    <w:p>
      <w:pPr>
        <w:ind w:firstLine="480"/>
        <w:rPr>
          <w:rFonts w:ascii="仿宋" w:hAnsi="仿宋" w:cs="仿宋"/>
        </w:rPr>
      </w:pPr>
      <w:r>
        <w:rPr>
          <w:rFonts w:hint="eastAsia" w:ascii="仿宋" w:hAnsi="仿宋" w:cs="仿宋"/>
        </w:rPr>
        <w:t>账  号：15126101040096666</w:t>
      </w:r>
    </w:p>
    <w:p>
      <w:pPr>
        <w:ind w:firstLine="480"/>
        <w:rPr>
          <w:rFonts w:ascii="仿宋" w:hAnsi="仿宋" w:cs="仿宋"/>
        </w:rPr>
      </w:pPr>
      <w:r>
        <w:rPr>
          <w:rFonts w:hint="eastAsia" w:ascii="仿宋" w:hAnsi="仿宋" w:cs="仿宋"/>
        </w:rPr>
        <w:t>开户行：中国农业银行股份有限公司济南槐荫支行</w:t>
      </w:r>
    </w:p>
    <w:p>
      <w:pPr>
        <w:ind w:firstLine="480"/>
        <w:rPr>
          <w:rFonts w:ascii="仿宋" w:hAnsi="仿宋" w:cs="仿宋"/>
        </w:rPr>
      </w:pPr>
      <w:r>
        <w:rPr>
          <w:rFonts w:hint="eastAsia" w:ascii="仿宋" w:hAnsi="仿宋" w:cs="仿宋"/>
        </w:rPr>
        <w:t>机构代码（大额支付银行行号）：103463051852</w:t>
      </w:r>
    </w:p>
    <w:p>
      <w:pPr>
        <w:pStyle w:val="2"/>
        <w:ind w:left="0" w:leftChars="0" w:firstLine="480"/>
        <w:rPr>
          <w:rFonts w:ascii="仿宋" w:hAnsi="仿宋" w:cs="仿宋"/>
        </w:rPr>
      </w:pPr>
      <w:r>
        <w:rPr>
          <w:rFonts w:hint="eastAsia" w:ascii="仿宋" w:hAnsi="仿宋" w:cs="仿宋"/>
        </w:rPr>
        <w:t>3）增值税发票开具信息：</w:t>
      </w:r>
    </w:p>
    <w:p>
      <w:pPr>
        <w:pStyle w:val="2"/>
        <w:ind w:left="0" w:leftChars="0" w:firstLine="480"/>
        <w:rPr>
          <w:rFonts w:ascii="仿宋" w:hAnsi="仿宋" w:cs="仿宋"/>
        </w:rPr>
      </w:pPr>
      <w:r>
        <w:rPr>
          <w:rFonts w:hint="eastAsia" w:ascii="仿宋" w:hAnsi="仿宋" w:cs="仿宋"/>
        </w:rPr>
        <w:t>名  称： 山东第一医科大学 </w:t>
      </w:r>
    </w:p>
    <w:p>
      <w:pPr>
        <w:pStyle w:val="2"/>
        <w:ind w:left="0" w:leftChars="0" w:firstLine="480"/>
        <w:rPr>
          <w:rFonts w:ascii="仿宋" w:hAnsi="仿宋" w:cs="仿宋"/>
        </w:rPr>
      </w:pPr>
      <w:r>
        <w:rPr>
          <w:rFonts w:hint="eastAsia" w:ascii="仿宋" w:hAnsi="仿宋" w:cs="仿宋"/>
        </w:rPr>
        <w:t>识别号： 12370000MB2865235G</w:t>
      </w:r>
    </w:p>
    <w:p>
      <w:pPr>
        <w:pStyle w:val="2"/>
        <w:ind w:left="0" w:leftChars="0" w:firstLine="480"/>
        <w:rPr>
          <w:rFonts w:ascii="仿宋" w:hAnsi="仿宋" w:cs="仿宋"/>
        </w:rPr>
      </w:pPr>
      <w:r>
        <w:rPr>
          <w:rFonts w:hint="eastAsia" w:ascii="仿宋" w:hAnsi="仿宋" w:cs="仿宋"/>
        </w:rPr>
        <w:t>地  址： 济南市槐荫区青岛路6699号</w:t>
      </w:r>
    </w:p>
    <w:p>
      <w:pPr>
        <w:pStyle w:val="2"/>
        <w:ind w:left="0" w:leftChars="0" w:firstLine="480"/>
        <w:rPr>
          <w:rFonts w:ascii="仿宋" w:hAnsi="仿宋" w:cs="仿宋"/>
        </w:rPr>
      </w:pPr>
      <w:r>
        <w:rPr>
          <w:rFonts w:hint="eastAsia" w:ascii="仿宋" w:hAnsi="仿宋" w:cs="仿宋"/>
        </w:rPr>
        <w:t>电  话： 0538-6229987</w:t>
      </w:r>
    </w:p>
    <w:p>
      <w:pPr>
        <w:pStyle w:val="2"/>
        <w:ind w:left="0" w:leftChars="0" w:firstLine="480"/>
        <w:rPr>
          <w:rFonts w:ascii="仿宋" w:hAnsi="仿宋" w:cs="仿宋"/>
        </w:rPr>
      </w:pPr>
      <w:r>
        <w:rPr>
          <w:rFonts w:hint="eastAsia" w:ascii="仿宋" w:hAnsi="仿宋" w:cs="仿宋"/>
        </w:rPr>
        <w:t>账户名称：山东第一医科大学</w:t>
      </w:r>
    </w:p>
    <w:p>
      <w:pPr>
        <w:pStyle w:val="2"/>
        <w:ind w:left="0" w:leftChars="0" w:firstLine="480"/>
        <w:rPr>
          <w:rFonts w:ascii="仿宋" w:hAnsi="仿宋" w:cs="仿宋"/>
        </w:rPr>
      </w:pPr>
      <w:r>
        <w:rPr>
          <w:rFonts w:hint="eastAsia" w:ascii="仿宋" w:hAnsi="仿宋" w:cs="仿宋"/>
        </w:rPr>
        <w:t>账  号：15518501040000160</w:t>
      </w:r>
    </w:p>
    <w:p>
      <w:pPr>
        <w:pStyle w:val="2"/>
        <w:ind w:left="0" w:leftChars="0" w:firstLine="480"/>
        <w:rPr>
          <w:rFonts w:ascii="仿宋" w:hAnsi="仿宋" w:cs="仿宋"/>
        </w:rPr>
      </w:pPr>
      <w:r>
        <w:rPr>
          <w:rFonts w:hint="eastAsia" w:ascii="仿宋" w:hAnsi="仿宋" w:cs="仿宋"/>
        </w:rPr>
        <w:t>开户行：中国农业银行股份有限公司泰安旅游开发区分理处</w:t>
      </w:r>
    </w:p>
    <w:p>
      <w:pPr>
        <w:pStyle w:val="2"/>
        <w:ind w:left="0" w:leftChars="0" w:firstLine="480"/>
        <w:rPr>
          <w:rFonts w:hint="eastAsia" w:ascii="仿宋" w:hAnsi="仿宋" w:cs="仿宋"/>
        </w:rPr>
      </w:pPr>
      <w:r>
        <w:rPr>
          <w:rFonts w:hint="eastAsia" w:ascii="仿宋" w:hAnsi="仿宋" w:cs="仿宋"/>
        </w:rPr>
        <w:t>机构代码（大额支付银行行号）：103463051852</w:t>
      </w:r>
    </w:p>
    <w:p>
      <w:pPr>
        <w:rPr>
          <w:rFonts w:hint="eastAsia"/>
        </w:rPr>
      </w:pPr>
      <w:r>
        <w:rPr>
          <w:rFonts w:hint="eastAsia"/>
          <w:lang w:val="en-US" w:eastAsia="zh-CN"/>
        </w:rPr>
        <w:t>6</w:t>
      </w:r>
      <w:r>
        <w:rPr>
          <w:rFonts w:hint="eastAsia"/>
        </w:rPr>
        <w:t>验收</w:t>
      </w:r>
    </w:p>
    <w:p>
      <w:pPr>
        <w:rPr>
          <w:rFonts w:hint="eastAsia"/>
        </w:rPr>
      </w:pPr>
      <w:r>
        <w:rPr>
          <w:rFonts w:hint="eastAsia"/>
          <w:lang w:val="en-US" w:eastAsia="zh-CN"/>
        </w:rPr>
        <w:t>6.1</w:t>
      </w:r>
      <w:r>
        <w:rPr>
          <w:rFonts w:hint="eastAsia"/>
        </w:rPr>
        <w:t>货物运抵现场后，卖方应派工程技术人员到达现场，采购人将对货物数量、质量、规格等进行检验。如发现货物和规格或者两者都与招标文件、投标文件、合同不符，采购人有权限根据检验结果要求中标人立即更换或者提出索赔要求。</w:t>
      </w:r>
    </w:p>
    <w:p>
      <w:pPr>
        <w:rPr>
          <w:rFonts w:hint="eastAsia"/>
        </w:rPr>
      </w:pPr>
      <w:r>
        <w:rPr>
          <w:rFonts w:hint="eastAsia"/>
          <w:lang w:val="en-US" w:eastAsia="zh-CN"/>
        </w:rPr>
        <w:t>6</w:t>
      </w:r>
      <w:r>
        <w:rPr>
          <w:rFonts w:hint="eastAsia"/>
        </w:rPr>
        <w:t>.2 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r>
        <w:rPr>
          <w:rFonts w:hint="eastAsia"/>
          <w:lang w:val="en-US" w:eastAsia="zh-CN"/>
        </w:rPr>
        <w:t>6</w:t>
      </w:r>
      <w:r>
        <w:rPr>
          <w:rFonts w:hint="eastAsia"/>
        </w:rPr>
        <w:t>.3对安装有特殊要求的设备，中标人应在合同签订后 10 个工作日内以书面形式向采购人提出安装场地环境要求，采购人负责安装场地的准备。</w:t>
      </w:r>
    </w:p>
    <w:p>
      <w:pPr>
        <w:ind w:firstLine="480"/>
        <w:rPr>
          <w:rFonts w:ascii="仿宋" w:hAnsi="仿宋" w:cs="仿宋"/>
          <w:b/>
          <w:szCs w:val="24"/>
        </w:rPr>
      </w:pPr>
      <w:r>
        <w:rPr>
          <w:rFonts w:hint="eastAsia" w:ascii="仿宋" w:hAnsi="仿宋" w:cs="仿宋"/>
          <w:lang w:val="en-US" w:eastAsia="zh-CN"/>
        </w:rPr>
        <w:t>7</w:t>
      </w:r>
      <w:r>
        <w:rPr>
          <w:rFonts w:hint="eastAsia" w:ascii="仿宋" w:hAnsi="仿宋" w:cs="仿宋"/>
        </w:rPr>
        <w:t>、若有其他优惠请自报。</w:t>
      </w:r>
    </w:p>
    <w:sectPr>
      <w:pgSz w:w="11906" w:h="16838"/>
      <w:pgMar w:top="1134" w:right="992" w:bottom="1440" w:left="1276" w:header="851" w:footer="992" w:gutter="0"/>
      <w:cols w:space="0" w:num="1"/>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7"/>
          <w:ind w:firstLine="360"/>
          <w:jc w:val="center"/>
        </w:pPr>
        <w:r>
          <w:fldChar w:fldCharType="begin"/>
        </w:r>
        <w:r>
          <w:instrText xml:space="preserve">PAGE   \* MERGEFORMAT</w:instrText>
        </w:r>
        <w:r>
          <w:fldChar w:fldCharType="separate"/>
        </w:r>
        <w:r>
          <w:rPr>
            <w:lang w:val="zh-CN"/>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965EEB"/>
    <w:multiLevelType w:val="singleLevel"/>
    <w:tmpl w:val="CE965EE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6"/>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hMGRlODllNDdhNGY0Yzc0NTViOWY2YWMyNzk4YzkifQ=="/>
  </w:docVars>
  <w:rsids>
    <w:rsidRoot w:val="00CB2D3F"/>
    <w:rsid w:val="00012535"/>
    <w:rsid w:val="00017E7F"/>
    <w:rsid w:val="00020E16"/>
    <w:rsid w:val="000245AA"/>
    <w:rsid w:val="000267F3"/>
    <w:rsid w:val="00032E74"/>
    <w:rsid w:val="00036B9A"/>
    <w:rsid w:val="00037FCC"/>
    <w:rsid w:val="00046FA1"/>
    <w:rsid w:val="0004785D"/>
    <w:rsid w:val="00063ED9"/>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5ECB"/>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29F4"/>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41B0D"/>
    <w:rsid w:val="002520D8"/>
    <w:rsid w:val="002577AF"/>
    <w:rsid w:val="00267B70"/>
    <w:rsid w:val="002719D5"/>
    <w:rsid w:val="00272134"/>
    <w:rsid w:val="002723D7"/>
    <w:rsid w:val="00280EB8"/>
    <w:rsid w:val="00285DCE"/>
    <w:rsid w:val="002903F8"/>
    <w:rsid w:val="00294EDB"/>
    <w:rsid w:val="00295305"/>
    <w:rsid w:val="0029620A"/>
    <w:rsid w:val="00296437"/>
    <w:rsid w:val="002B1F40"/>
    <w:rsid w:val="002B2BD5"/>
    <w:rsid w:val="002B38C4"/>
    <w:rsid w:val="002B47A9"/>
    <w:rsid w:val="002B50F1"/>
    <w:rsid w:val="002B622A"/>
    <w:rsid w:val="002B7712"/>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3BF9"/>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4A51"/>
    <w:rsid w:val="00436F6D"/>
    <w:rsid w:val="00437947"/>
    <w:rsid w:val="00442458"/>
    <w:rsid w:val="00443AA7"/>
    <w:rsid w:val="00445053"/>
    <w:rsid w:val="00452892"/>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013ED"/>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2468"/>
    <w:rsid w:val="00586304"/>
    <w:rsid w:val="00587161"/>
    <w:rsid w:val="005929B5"/>
    <w:rsid w:val="005937CA"/>
    <w:rsid w:val="005B1204"/>
    <w:rsid w:val="005B463F"/>
    <w:rsid w:val="005B542C"/>
    <w:rsid w:val="005B5441"/>
    <w:rsid w:val="005B5492"/>
    <w:rsid w:val="005B6BF0"/>
    <w:rsid w:val="005C3A73"/>
    <w:rsid w:val="005C6DBD"/>
    <w:rsid w:val="005C7001"/>
    <w:rsid w:val="005E299C"/>
    <w:rsid w:val="005E3279"/>
    <w:rsid w:val="005E68E2"/>
    <w:rsid w:val="005F49C1"/>
    <w:rsid w:val="0060188C"/>
    <w:rsid w:val="00604E8C"/>
    <w:rsid w:val="00611359"/>
    <w:rsid w:val="006348FD"/>
    <w:rsid w:val="00636AF3"/>
    <w:rsid w:val="00641FE1"/>
    <w:rsid w:val="006456AE"/>
    <w:rsid w:val="00670555"/>
    <w:rsid w:val="00683172"/>
    <w:rsid w:val="006836A6"/>
    <w:rsid w:val="006876C6"/>
    <w:rsid w:val="00692A6F"/>
    <w:rsid w:val="006A3152"/>
    <w:rsid w:val="006A43FD"/>
    <w:rsid w:val="006A5FAC"/>
    <w:rsid w:val="006B5446"/>
    <w:rsid w:val="006B6802"/>
    <w:rsid w:val="006C0982"/>
    <w:rsid w:val="006C47E1"/>
    <w:rsid w:val="006C4A06"/>
    <w:rsid w:val="006D26DD"/>
    <w:rsid w:val="006D65FE"/>
    <w:rsid w:val="006D6C17"/>
    <w:rsid w:val="006E4184"/>
    <w:rsid w:val="006E6417"/>
    <w:rsid w:val="006E6A12"/>
    <w:rsid w:val="006F7058"/>
    <w:rsid w:val="0070159D"/>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476C"/>
    <w:rsid w:val="007F7428"/>
    <w:rsid w:val="007F7F42"/>
    <w:rsid w:val="008026BC"/>
    <w:rsid w:val="00805F11"/>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C737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47B43"/>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C0CE7"/>
    <w:rsid w:val="009E15B8"/>
    <w:rsid w:val="009E418A"/>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1431"/>
    <w:rsid w:val="00B1493B"/>
    <w:rsid w:val="00B24B2E"/>
    <w:rsid w:val="00B2717C"/>
    <w:rsid w:val="00B27D66"/>
    <w:rsid w:val="00B320C5"/>
    <w:rsid w:val="00B37DF8"/>
    <w:rsid w:val="00B41B0D"/>
    <w:rsid w:val="00B565C5"/>
    <w:rsid w:val="00B61879"/>
    <w:rsid w:val="00B768BF"/>
    <w:rsid w:val="00B77A33"/>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1256"/>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B52CA"/>
    <w:rsid w:val="00DC1D11"/>
    <w:rsid w:val="00DC4898"/>
    <w:rsid w:val="00DD5C22"/>
    <w:rsid w:val="00DD78F9"/>
    <w:rsid w:val="00DE2BE6"/>
    <w:rsid w:val="00DE7260"/>
    <w:rsid w:val="00DF1A7F"/>
    <w:rsid w:val="00E00529"/>
    <w:rsid w:val="00E10313"/>
    <w:rsid w:val="00E21648"/>
    <w:rsid w:val="00E33747"/>
    <w:rsid w:val="00E414BB"/>
    <w:rsid w:val="00E4178F"/>
    <w:rsid w:val="00E420FB"/>
    <w:rsid w:val="00E55C87"/>
    <w:rsid w:val="00E623DE"/>
    <w:rsid w:val="00E74D2B"/>
    <w:rsid w:val="00E92CED"/>
    <w:rsid w:val="00E956D6"/>
    <w:rsid w:val="00E96948"/>
    <w:rsid w:val="00E97ED7"/>
    <w:rsid w:val="00EA1CDC"/>
    <w:rsid w:val="00EA421B"/>
    <w:rsid w:val="00EA467B"/>
    <w:rsid w:val="00EA78BF"/>
    <w:rsid w:val="00EC585D"/>
    <w:rsid w:val="00ED0624"/>
    <w:rsid w:val="00ED0B35"/>
    <w:rsid w:val="00ED6C74"/>
    <w:rsid w:val="00EE327B"/>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363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01D7"/>
    <w:rsid w:val="00FD3791"/>
    <w:rsid w:val="00FE4657"/>
    <w:rsid w:val="00FE4DD0"/>
    <w:rsid w:val="00FF1F5A"/>
    <w:rsid w:val="03877628"/>
    <w:rsid w:val="055359A5"/>
    <w:rsid w:val="0562071E"/>
    <w:rsid w:val="059F550F"/>
    <w:rsid w:val="067F5B8E"/>
    <w:rsid w:val="07FC2953"/>
    <w:rsid w:val="0945226B"/>
    <w:rsid w:val="0CC47790"/>
    <w:rsid w:val="0D9E6B6D"/>
    <w:rsid w:val="110F5F23"/>
    <w:rsid w:val="112A2B96"/>
    <w:rsid w:val="119B16ED"/>
    <w:rsid w:val="11DE0500"/>
    <w:rsid w:val="12A367ED"/>
    <w:rsid w:val="154E20EE"/>
    <w:rsid w:val="159B2240"/>
    <w:rsid w:val="15C460B5"/>
    <w:rsid w:val="16E80C72"/>
    <w:rsid w:val="1A7B6F13"/>
    <w:rsid w:val="1AAE34C5"/>
    <w:rsid w:val="1AD803DB"/>
    <w:rsid w:val="1AF71A23"/>
    <w:rsid w:val="1B921814"/>
    <w:rsid w:val="1B9A2A3D"/>
    <w:rsid w:val="1BDC38CD"/>
    <w:rsid w:val="1D2B3667"/>
    <w:rsid w:val="23547885"/>
    <w:rsid w:val="25D555BB"/>
    <w:rsid w:val="25EF1AE7"/>
    <w:rsid w:val="25F21F56"/>
    <w:rsid w:val="260F6A7F"/>
    <w:rsid w:val="29420625"/>
    <w:rsid w:val="29FB3BB8"/>
    <w:rsid w:val="2B793244"/>
    <w:rsid w:val="2BD01A9C"/>
    <w:rsid w:val="2BD650E5"/>
    <w:rsid w:val="2CD9399D"/>
    <w:rsid w:val="2DFB6BFF"/>
    <w:rsid w:val="30127023"/>
    <w:rsid w:val="319D2D23"/>
    <w:rsid w:val="33751F41"/>
    <w:rsid w:val="33BF39CF"/>
    <w:rsid w:val="33CD0C81"/>
    <w:rsid w:val="367100EE"/>
    <w:rsid w:val="375430BA"/>
    <w:rsid w:val="379F4F25"/>
    <w:rsid w:val="37DA3612"/>
    <w:rsid w:val="380C3E1A"/>
    <w:rsid w:val="38237904"/>
    <w:rsid w:val="390F5ADC"/>
    <w:rsid w:val="39B746CA"/>
    <w:rsid w:val="3AAA02EE"/>
    <w:rsid w:val="3B1B578B"/>
    <w:rsid w:val="3CD04444"/>
    <w:rsid w:val="3D531176"/>
    <w:rsid w:val="3D562E80"/>
    <w:rsid w:val="3D860DFB"/>
    <w:rsid w:val="3DEC72F2"/>
    <w:rsid w:val="3E587BDC"/>
    <w:rsid w:val="3FE15DB7"/>
    <w:rsid w:val="49724248"/>
    <w:rsid w:val="4B0C247A"/>
    <w:rsid w:val="4C803E8D"/>
    <w:rsid w:val="4D9A32B2"/>
    <w:rsid w:val="4F133DD7"/>
    <w:rsid w:val="4F373AFF"/>
    <w:rsid w:val="4F8E4934"/>
    <w:rsid w:val="510460CD"/>
    <w:rsid w:val="54C849A4"/>
    <w:rsid w:val="54EA2115"/>
    <w:rsid w:val="556F5ADF"/>
    <w:rsid w:val="56AD68BF"/>
    <w:rsid w:val="571D0F49"/>
    <w:rsid w:val="57C01E34"/>
    <w:rsid w:val="598E00B2"/>
    <w:rsid w:val="59EF71EF"/>
    <w:rsid w:val="5B037419"/>
    <w:rsid w:val="5D902A97"/>
    <w:rsid w:val="619F5A9B"/>
    <w:rsid w:val="631D6B7A"/>
    <w:rsid w:val="63C611BD"/>
    <w:rsid w:val="63E83992"/>
    <w:rsid w:val="65D7099C"/>
    <w:rsid w:val="667A3C6D"/>
    <w:rsid w:val="68AD6D57"/>
    <w:rsid w:val="6B0A211F"/>
    <w:rsid w:val="70DC1201"/>
    <w:rsid w:val="785C076E"/>
    <w:rsid w:val="78A92B1B"/>
    <w:rsid w:val="78C30BB9"/>
    <w:rsid w:val="792A74E8"/>
    <w:rsid w:val="79FC3536"/>
    <w:rsid w:val="7A5B64AE"/>
    <w:rsid w:val="7B885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3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5"/>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30"/>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List 3"/>
    <w:basedOn w:val="1"/>
    <w:qFormat/>
    <w:uiPriority w:val="0"/>
    <w:pPr>
      <w:ind w:left="100" w:leftChars="400" w:hanging="200" w:hangingChars="200"/>
    </w:pPr>
  </w:style>
  <w:style w:type="paragraph" w:styleId="8">
    <w:name w:val="Normal Indent"/>
    <w:basedOn w:val="1"/>
    <w:unhideWhenUsed/>
    <w:qFormat/>
    <w:uiPriority w:val="0"/>
    <w:pPr>
      <w:ind w:firstLine="420"/>
    </w:pPr>
  </w:style>
  <w:style w:type="paragraph" w:styleId="9">
    <w:name w:val="caption"/>
    <w:basedOn w:val="1"/>
    <w:next w:val="1"/>
    <w:qFormat/>
    <w:uiPriority w:val="0"/>
    <w:pPr>
      <w:spacing w:before="152" w:after="160"/>
    </w:pPr>
    <w:rPr>
      <w:rFonts w:ascii="Arial" w:hAnsi="Arial" w:eastAsia="黑体" w:cs="Arial"/>
      <w:sz w:val="20"/>
    </w:rPr>
  </w:style>
  <w:style w:type="paragraph" w:styleId="10">
    <w:name w:val="annotation text"/>
    <w:basedOn w:val="1"/>
    <w:link w:val="43"/>
    <w:qFormat/>
    <w:uiPriority w:val="99"/>
    <w:pPr>
      <w:spacing w:line="240" w:lineRule="auto"/>
      <w:ind w:firstLine="0" w:firstLineChars="0"/>
    </w:pPr>
    <w:rPr>
      <w:rFonts w:ascii="Times New Roman" w:hAnsi="Times New Roman" w:eastAsiaTheme="minorEastAsia" w:cstheme="minorBidi"/>
      <w:sz w:val="21"/>
      <w:szCs w:val="24"/>
    </w:rPr>
  </w:style>
  <w:style w:type="paragraph" w:styleId="11">
    <w:name w:val="Body Text 3"/>
    <w:basedOn w:val="1"/>
    <w:link w:val="37"/>
    <w:semiHidden/>
    <w:unhideWhenUsed/>
    <w:qFormat/>
    <w:uiPriority w:val="99"/>
    <w:pPr>
      <w:spacing w:after="120"/>
    </w:pPr>
    <w:rPr>
      <w:sz w:val="16"/>
      <w:szCs w:val="16"/>
    </w:rPr>
  </w:style>
  <w:style w:type="paragraph" w:styleId="12">
    <w:name w:val="Body Text"/>
    <w:basedOn w:val="1"/>
    <w:qFormat/>
    <w:uiPriority w:val="0"/>
    <w:pPr>
      <w:spacing w:after="120"/>
    </w:pPr>
  </w:style>
  <w:style w:type="paragraph" w:styleId="13">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4">
    <w:name w:val="Plain Text"/>
    <w:basedOn w:val="1"/>
    <w:link w:val="38"/>
    <w:qFormat/>
    <w:uiPriority w:val="0"/>
    <w:rPr>
      <w:rFonts w:ascii="宋体" w:hAnsi="Courier New" w:eastAsia="宋体"/>
      <w:sz w:val="21"/>
    </w:rPr>
  </w:style>
  <w:style w:type="paragraph" w:styleId="15">
    <w:name w:val="Body Text Indent 2"/>
    <w:basedOn w:val="1"/>
    <w:qFormat/>
    <w:uiPriority w:val="0"/>
    <w:pPr>
      <w:spacing w:line="500" w:lineRule="exact"/>
      <w:ind w:firstLine="442"/>
    </w:pPr>
  </w:style>
  <w:style w:type="paragraph" w:styleId="16">
    <w:name w:val="Balloon Text"/>
    <w:basedOn w:val="1"/>
    <w:link w:val="42"/>
    <w:semiHidden/>
    <w:unhideWhenUsed/>
    <w:qFormat/>
    <w:uiPriority w:val="99"/>
    <w:pPr>
      <w:spacing w:line="240" w:lineRule="auto"/>
    </w:pPr>
    <w:rPr>
      <w:sz w:val="18"/>
      <w:szCs w:val="18"/>
    </w:rPr>
  </w:style>
  <w:style w:type="paragraph" w:styleId="17">
    <w:name w:val="footer"/>
    <w:basedOn w:val="1"/>
    <w:link w:val="29"/>
    <w:unhideWhenUsed/>
    <w:qFormat/>
    <w:uiPriority w:val="99"/>
    <w:pPr>
      <w:tabs>
        <w:tab w:val="center" w:pos="4153"/>
        <w:tab w:val="right" w:pos="8306"/>
      </w:tabs>
      <w:snapToGrid w:val="0"/>
    </w:pPr>
    <w:rPr>
      <w:sz w:val="18"/>
      <w:szCs w:val="18"/>
    </w:rPr>
  </w:style>
  <w:style w:type="paragraph" w:styleId="18">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rPr>
      <w:rFonts w:ascii="Times New Roman" w:hAnsi="Times New Roman"/>
    </w:rPr>
  </w:style>
  <w:style w:type="paragraph" w:styleId="20">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21">
    <w:name w:val="toc 2"/>
    <w:basedOn w:val="1"/>
    <w:next w:val="1"/>
    <w:unhideWhenUsed/>
    <w:qFormat/>
    <w:uiPriority w:val="39"/>
    <w:pPr>
      <w:ind w:left="200" w:leftChars="200"/>
    </w:pPr>
    <w:rPr>
      <w:rFonts w:ascii="Times New Roman" w:hAnsi="Times New Roman"/>
    </w:rPr>
  </w:style>
  <w:style w:type="paragraph" w:styleId="22">
    <w:name w:val="Normal (Web)"/>
    <w:basedOn w:val="1"/>
    <w:qFormat/>
    <w:uiPriority w:val="0"/>
    <w:pPr>
      <w:widowControl/>
      <w:spacing w:before="100" w:beforeAutospacing="1" w:after="100" w:afterAutospacing="1"/>
    </w:pPr>
    <w:rPr>
      <w:rFonts w:ascii="宋体" w:hAnsi="宋体" w:cs="宋体"/>
      <w:kern w:val="0"/>
      <w:szCs w:val="24"/>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rPr>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customStyle="1" w:styleId="28">
    <w:name w:val="页眉 字符"/>
    <w:basedOn w:val="25"/>
    <w:link w:val="18"/>
    <w:qFormat/>
    <w:uiPriority w:val="99"/>
    <w:rPr>
      <w:sz w:val="18"/>
      <w:szCs w:val="18"/>
    </w:rPr>
  </w:style>
  <w:style w:type="character" w:customStyle="1" w:styleId="29">
    <w:name w:val="页脚 字符"/>
    <w:basedOn w:val="25"/>
    <w:link w:val="17"/>
    <w:qFormat/>
    <w:uiPriority w:val="99"/>
    <w:rPr>
      <w:sz w:val="18"/>
      <w:szCs w:val="18"/>
    </w:rPr>
  </w:style>
  <w:style w:type="character" w:customStyle="1" w:styleId="30">
    <w:name w:val="正文文本缩进 字符"/>
    <w:link w:val="3"/>
    <w:qFormat/>
    <w:uiPriority w:val="99"/>
    <w:rPr>
      <w:rFonts w:ascii="Times New Roman" w:hAnsi="Times New Roman"/>
    </w:rPr>
  </w:style>
  <w:style w:type="character" w:customStyle="1" w:styleId="31">
    <w:name w:val="正文文本缩进 Char1"/>
    <w:basedOn w:val="25"/>
    <w:semiHidden/>
    <w:qFormat/>
    <w:uiPriority w:val="99"/>
    <w:rPr>
      <w:rFonts w:ascii="Calibri" w:hAnsi="Calibri" w:eastAsia="仿宋" w:cs="Times New Roman"/>
      <w:sz w:val="24"/>
      <w:szCs w:val="20"/>
    </w:rPr>
  </w:style>
  <w:style w:type="character" w:customStyle="1" w:styleId="32">
    <w:name w:val="标题 4 字符"/>
    <w:basedOn w:val="25"/>
    <w:link w:val="6"/>
    <w:qFormat/>
    <w:uiPriority w:val="9"/>
    <w:rPr>
      <w:rFonts w:asciiTheme="majorHAnsi" w:hAnsiTheme="majorHAnsi" w:eastAsiaTheme="majorEastAsia" w:cstheme="majorBidi"/>
      <w:b/>
      <w:bCs/>
      <w:sz w:val="28"/>
      <w:szCs w:val="28"/>
    </w:rPr>
  </w:style>
  <w:style w:type="paragraph" w:styleId="33">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4">
    <w:name w:val="标题 2 字符"/>
    <w:basedOn w:val="25"/>
    <w:link w:val="5"/>
    <w:qFormat/>
    <w:uiPriority w:val="0"/>
    <w:rPr>
      <w:rFonts w:asciiTheme="majorHAnsi" w:hAnsiTheme="majorHAnsi" w:eastAsiaTheme="majorEastAsia" w:cstheme="majorBidi"/>
      <w:b/>
      <w:bCs/>
      <w:sz w:val="32"/>
      <w:szCs w:val="32"/>
    </w:rPr>
  </w:style>
  <w:style w:type="paragraph" w:customStyle="1" w:styleId="35">
    <w:name w:val="默认段落字体 Para Char Char Char Char Char Char Char Char Char1 Char Char Char Char"/>
    <w:basedOn w:val="1"/>
    <w:qFormat/>
    <w:uiPriority w:val="0"/>
    <w:rPr>
      <w:rFonts w:ascii="Tahoma" w:hAnsi="Tahoma"/>
    </w:rPr>
  </w:style>
  <w:style w:type="character" w:customStyle="1" w:styleId="36">
    <w:name w:val="标题 1 字符"/>
    <w:basedOn w:val="25"/>
    <w:link w:val="4"/>
    <w:qFormat/>
    <w:uiPriority w:val="9"/>
    <w:rPr>
      <w:rFonts w:ascii="Calibri" w:hAnsi="Calibri" w:eastAsia="仿宋" w:cs="Times New Roman"/>
      <w:b/>
      <w:bCs/>
      <w:kern w:val="44"/>
      <w:sz w:val="44"/>
      <w:szCs w:val="44"/>
    </w:rPr>
  </w:style>
  <w:style w:type="character" w:customStyle="1" w:styleId="37">
    <w:name w:val="正文文本 3 字符"/>
    <w:basedOn w:val="25"/>
    <w:link w:val="11"/>
    <w:semiHidden/>
    <w:qFormat/>
    <w:uiPriority w:val="99"/>
    <w:rPr>
      <w:rFonts w:ascii="Calibri" w:hAnsi="Calibri" w:eastAsia="仿宋" w:cs="Times New Roman"/>
      <w:sz w:val="16"/>
      <w:szCs w:val="16"/>
    </w:rPr>
  </w:style>
  <w:style w:type="character" w:customStyle="1" w:styleId="38">
    <w:name w:val="纯文本 字符"/>
    <w:link w:val="14"/>
    <w:qFormat/>
    <w:locked/>
    <w:uiPriority w:val="0"/>
    <w:rPr>
      <w:rFonts w:ascii="宋体" w:hAnsi="Courier New" w:eastAsia="宋体" w:cs="Times New Roman"/>
      <w:szCs w:val="20"/>
    </w:rPr>
  </w:style>
  <w:style w:type="character" w:customStyle="1" w:styleId="39">
    <w:name w:val="纯文本 Char"/>
    <w:basedOn w:val="25"/>
    <w:semiHidden/>
    <w:qFormat/>
    <w:uiPriority w:val="99"/>
    <w:rPr>
      <w:rFonts w:ascii="宋体" w:hAnsi="Courier New" w:eastAsia="宋体" w:cs="Courier New"/>
      <w:szCs w:val="21"/>
    </w:rPr>
  </w:style>
  <w:style w:type="paragraph" w:customStyle="1" w:styleId="40">
    <w:name w:val="表内文字"/>
    <w:basedOn w:val="1"/>
    <w:qFormat/>
    <w:uiPriority w:val="0"/>
    <w:pPr>
      <w:tabs>
        <w:tab w:val="left" w:pos="1418"/>
      </w:tabs>
      <w:jc w:val="center"/>
    </w:pPr>
    <w:rPr>
      <w:rFonts w:ascii="仿宋_GB2312" w:eastAsia="仿宋_GB2312"/>
      <w:spacing w:val="-20"/>
      <w:kern w:val="0"/>
      <w:szCs w:val="24"/>
    </w:rPr>
  </w:style>
  <w:style w:type="character" w:customStyle="1" w:styleId="41">
    <w:name w:val="正文首行缩进 2 Char"/>
    <w:semiHidden/>
    <w:qFormat/>
    <w:uiPriority w:val="99"/>
    <w:rPr>
      <w:rFonts w:ascii="Times New Roman" w:hAnsi="Times New Roman" w:eastAsia="仿宋"/>
      <w:kern w:val="2"/>
      <w:sz w:val="24"/>
    </w:rPr>
  </w:style>
  <w:style w:type="character" w:customStyle="1" w:styleId="42">
    <w:name w:val="批注框文本 字符"/>
    <w:basedOn w:val="25"/>
    <w:link w:val="16"/>
    <w:semiHidden/>
    <w:qFormat/>
    <w:uiPriority w:val="99"/>
    <w:rPr>
      <w:rFonts w:ascii="Calibri" w:hAnsi="Calibri" w:eastAsia="仿宋"/>
      <w:kern w:val="2"/>
      <w:sz w:val="18"/>
      <w:szCs w:val="18"/>
    </w:rPr>
  </w:style>
  <w:style w:type="character" w:customStyle="1" w:styleId="43">
    <w:name w:val="批注文字 字符"/>
    <w:basedOn w:val="25"/>
    <w:link w:val="10"/>
    <w:qFormat/>
    <w:uiPriority w:val="99"/>
    <w:rPr>
      <w:rFonts w:eastAsiaTheme="minorEastAsia" w:cstheme="minorBidi"/>
      <w:kern w:val="2"/>
      <w:sz w:val="21"/>
      <w:szCs w:val="24"/>
    </w:rPr>
  </w:style>
  <w:style w:type="paragraph" w:customStyle="1" w:styleId="44">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5">
    <w:name w:val="正文首行缩进 2 字符"/>
    <w:basedOn w:val="30"/>
    <w:link w:val="2"/>
    <w:qFormat/>
    <w:uiPriority w:val="99"/>
    <w:rPr>
      <w:rFonts w:ascii="Calibri" w:hAnsi="Calibri" w:eastAsia="仿宋"/>
      <w:kern w:val="2"/>
      <w:sz w:val="24"/>
    </w:rPr>
  </w:style>
  <w:style w:type="paragraph" w:customStyle="1" w:styleId="46">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7">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character" w:customStyle="1" w:styleId="48">
    <w:name w:val="font81"/>
    <w:basedOn w:val="25"/>
    <w:qFormat/>
    <w:uiPriority w:val="0"/>
    <w:rPr>
      <w:rFonts w:hint="eastAsia" w:ascii="宋体" w:hAnsi="宋体" w:eastAsia="宋体" w:cs="宋体"/>
      <w:color w:val="000000"/>
      <w:sz w:val="22"/>
      <w:szCs w:val="22"/>
      <w:u w:val="none"/>
    </w:rPr>
  </w:style>
  <w:style w:type="character" w:customStyle="1" w:styleId="49">
    <w:name w:val="font01"/>
    <w:basedOn w:val="25"/>
    <w:qFormat/>
    <w:uiPriority w:val="0"/>
    <w:rPr>
      <w:rFonts w:hint="default" w:ascii="Times New Roman" w:hAnsi="Times New Roman" w:cs="Times New Roman"/>
      <w:color w:val="000000"/>
      <w:sz w:val="22"/>
      <w:szCs w:val="22"/>
      <w:u w:val="none"/>
    </w:rPr>
  </w:style>
  <w:style w:type="character" w:customStyle="1" w:styleId="50">
    <w:name w:val="font31"/>
    <w:basedOn w:val="25"/>
    <w:qFormat/>
    <w:uiPriority w:val="0"/>
    <w:rPr>
      <w:rFonts w:hint="eastAsia" w:ascii="宋体" w:hAnsi="宋体" w:eastAsia="宋体" w:cs="宋体"/>
      <w:color w:val="000000"/>
      <w:sz w:val="22"/>
      <w:szCs w:val="22"/>
      <w:u w:val="none"/>
    </w:rPr>
  </w:style>
  <w:style w:type="character" w:customStyle="1" w:styleId="51">
    <w:name w:val="font12"/>
    <w:basedOn w:val="25"/>
    <w:qFormat/>
    <w:uiPriority w:val="0"/>
    <w:rPr>
      <w:rFonts w:ascii="仿宋" w:hAnsi="仿宋" w:eastAsia="仿宋" w:cs="仿宋"/>
      <w:color w:val="000000"/>
      <w:sz w:val="24"/>
      <w:szCs w:val="24"/>
      <w:u w:val="none"/>
    </w:rPr>
  </w:style>
  <w:style w:type="character" w:customStyle="1" w:styleId="52">
    <w:name w:val="font51"/>
    <w:basedOn w:val="25"/>
    <w:qFormat/>
    <w:uiPriority w:val="0"/>
    <w:rPr>
      <w:rFonts w:hint="default" w:ascii="Times New Roman" w:hAnsi="Times New Roman" w:cs="Times New Roman"/>
      <w:color w:val="000000"/>
      <w:sz w:val="22"/>
      <w:szCs w:val="22"/>
      <w:u w:val="none"/>
    </w:rPr>
  </w:style>
  <w:style w:type="character" w:customStyle="1" w:styleId="53">
    <w:name w:val="font71"/>
    <w:basedOn w:val="25"/>
    <w:qFormat/>
    <w:uiPriority w:val="0"/>
    <w:rPr>
      <w:rFonts w:hint="default" w:ascii="Times New Roman" w:hAnsi="Times New Roman" w:cs="Times New Roman"/>
      <w:color w:val="000000"/>
      <w:sz w:val="22"/>
      <w:szCs w:val="22"/>
      <w:u w:val="none"/>
    </w:rPr>
  </w:style>
  <w:style w:type="character" w:customStyle="1" w:styleId="54">
    <w:name w:val="font91"/>
    <w:basedOn w:val="25"/>
    <w:qFormat/>
    <w:uiPriority w:val="0"/>
    <w:rPr>
      <w:rFonts w:hint="eastAsia" w:ascii="宋体" w:hAnsi="宋体" w:eastAsia="宋体" w:cs="宋体"/>
      <w:color w:val="000000"/>
      <w:sz w:val="22"/>
      <w:szCs w:val="22"/>
      <w:u w:val="none"/>
    </w:rPr>
  </w:style>
  <w:style w:type="character" w:customStyle="1" w:styleId="55">
    <w:name w:val="font111"/>
    <w:basedOn w:val="25"/>
    <w:qFormat/>
    <w:uiPriority w:val="0"/>
    <w:rPr>
      <w:rFonts w:ascii="Wingdings 2" w:hAnsi="Wingdings 2" w:eastAsia="Wingdings 2" w:cs="Wingdings 2"/>
      <w:color w:val="000000"/>
      <w:sz w:val="22"/>
      <w:szCs w:val="22"/>
      <w:u w:val="none"/>
    </w:rPr>
  </w:style>
  <w:style w:type="character" w:customStyle="1" w:styleId="56">
    <w:name w:val="font122"/>
    <w:basedOn w:val="25"/>
    <w:qFormat/>
    <w:uiPriority w:val="0"/>
    <w:rPr>
      <w:rFonts w:hint="default" w:ascii="Wingdings 2" w:hAnsi="Wingdings 2" w:eastAsia="Wingdings 2" w:cs="Wingdings 2"/>
      <w:color w:val="000000"/>
      <w:sz w:val="22"/>
      <w:szCs w:val="22"/>
      <w:u w:val="none"/>
    </w:rPr>
  </w:style>
  <w:style w:type="character" w:customStyle="1" w:styleId="57">
    <w:name w:val="font11"/>
    <w:basedOn w:val="25"/>
    <w:qFormat/>
    <w:uiPriority w:val="0"/>
    <w:rPr>
      <w:rFonts w:hint="eastAsia" w:ascii="宋体" w:hAnsi="宋体" w:eastAsia="宋体" w:cs="宋体"/>
      <w:b/>
      <w:bCs/>
      <w:color w:val="000000"/>
      <w:sz w:val="32"/>
      <w:szCs w:val="32"/>
      <w:u w:val="none"/>
    </w:rPr>
  </w:style>
  <w:style w:type="paragraph" w:customStyle="1" w:styleId="58">
    <w:name w:val="列出段落1"/>
    <w:basedOn w:val="1"/>
    <w:qFormat/>
    <w:uiPriority w:val="0"/>
    <w:pPr>
      <w:ind w:firstLine="420"/>
    </w:pPr>
    <w:rPr>
      <w:szCs w:val="22"/>
    </w:rPr>
  </w:style>
  <w:style w:type="character" w:customStyle="1" w:styleId="59">
    <w:name w:val="font61"/>
    <w:basedOn w:val="25"/>
    <w:qFormat/>
    <w:uiPriority w:val="0"/>
    <w:rPr>
      <w:rFonts w:hint="eastAsia" w:ascii="宋体" w:hAnsi="宋体" w:eastAsia="宋体" w:cs="宋体"/>
      <w:color w:val="000000"/>
      <w:sz w:val="24"/>
      <w:szCs w:val="24"/>
      <w:u w:val="none"/>
    </w:rPr>
  </w:style>
  <w:style w:type="paragraph" w:customStyle="1" w:styleId="60">
    <w:name w:val="纯文本1"/>
    <w:basedOn w:val="14"/>
    <w:qFormat/>
    <w:uiPriority w:val="0"/>
    <w:pPr>
      <w:spacing w:line="220" w:lineRule="atLeast"/>
      <w:jc w:val="center"/>
    </w:pPr>
    <w:rPr>
      <w:rFonts w:ascii="仿宋" w:hAnsi="仿宋" w:eastAsia="仿宋"/>
      <w:sz w:val="24"/>
      <w:szCs w:val="24"/>
    </w:rPr>
  </w:style>
  <w:style w:type="paragraph" w:styleId="61">
    <w:name w:val="List Paragraph"/>
    <w:basedOn w:val="1"/>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AB21-2467-4EC1-93AE-1ED591F74AD3}">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7337</Words>
  <Characters>8174</Characters>
  <Lines>62</Lines>
  <Paragraphs>17</Paragraphs>
  <TotalTime>123</TotalTime>
  <ScaleCrop>false</ScaleCrop>
  <LinksUpToDate>false</LinksUpToDate>
  <CharactersWithSpaces>8272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山东华仁永旺</cp:lastModifiedBy>
  <dcterms:modified xsi:type="dcterms:W3CDTF">2023-08-01T06:52:37Z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1F22F1786A93455F93903A7E0DE4C4E3_13</vt:lpwstr>
  </property>
</Properties>
</file>