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bCs/>
          <w:color w:val="auto"/>
          <w:sz w:val="48"/>
          <w:szCs w:val="48"/>
          <w:highlight w:val="none"/>
          <w:lang w:eastAsia="zh-CN"/>
        </w:rPr>
      </w:pPr>
      <w:r>
        <w:rPr>
          <w:rFonts w:hint="eastAsia" w:ascii="仿宋" w:hAnsi="仿宋" w:eastAsia="仿宋" w:cs="仿宋"/>
          <w:b/>
          <w:bCs/>
          <w:color w:val="auto"/>
          <w:sz w:val="48"/>
          <w:szCs w:val="48"/>
          <w:highlight w:val="none"/>
          <w:lang w:eastAsia="zh-CN"/>
        </w:rPr>
        <w:t>山东第一医科大学（山东省医学科学院）双高计划公共教学科研平台暨临床生物样本库平台建设项目（180）</w:t>
      </w:r>
    </w:p>
    <w:p>
      <w:pPr>
        <w:ind w:firstLine="0" w:firstLineChars="0"/>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cs="仿宋"/>
          <w:b/>
          <w:color w:val="auto"/>
          <w:sz w:val="36"/>
          <w:szCs w:val="36"/>
          <w:highlight w:val="none"/>
          <w:lang w:eastAsia="zh-CN"/>
        </w:rPr>
        <w:t>SDGP370000000202302005898</w:t>
      </w:r>
    </w:p>
    <w:p>
      <w:pPr>
        <w:ind w:firstLine="199" w:firstLineChars="55"/>
        <w:jc w:val="center"/>
        <w:rPr>
          <w:rFonts w:hint="eastAsia" w:ascii="仿宋" w:hAnsi="仿宋" w:eastAsia="仿宋" w:cs="仿宋"/>
          <w:b/>
          <w:color w:val="auto"/>
          <w:sz w:val="36"/>
          <w:szCs w:val="36"/>
          <w:highlight w:val="none"/>
          <w:u w:val="single"/>
          <w:lang w:val="en-US" w:eastAsia="zh-CN"/>
        </w:rPr>
      </w:pPr>
      <w:r>
        <w:rPr>
          <w:rFonts w:hint="eastAsia" w:ascii="仿宋" w:hAnsi="仿宋" w:cs="仿宋"/>
          <w:b/>
          <w:color w:val="auto"/>
          <w:sz w:val="36"/>
          <w:szCs w:val="36"/>
          <w:highlight w:val="none"/>
          <w:lang w:eastAsia="zh-CN"/>
        </w:rPr>
        <w:t>/sdhryw2023180</w:t>
      </w:r>
    </w:p>
    <w:p>
      <w:pPr>
        <w:pStyle w:val="11"/>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eastAsia="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eastAsia="zh-CN"/>
        </w:rPr>
        <w:t>七</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eastAsia="仿宋" w:cs="仿宋"/>
          <w:bCs/>
          <w:color w:val="auto"/>
          <w:highlight w:val="none"/>
          <w:lang w:eastAsia="zh-CN"/>
        </w:rPr>
        <w:t>山东第一医科大学（山东省医学科学院）双高计划公共教学科研平台暨临床生物样本库平台建设项目（180）</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bCs/>
          <w:color w:val="auto"/>
          <w:highlight w:val="none"/>
          <w:lang w:eastAsia="zh-CN"/>
        </w:rPr>
      </w:pPr>
      <w:r>
        <w:rPr>
          <w:rFonts w:hint="eastAsia" w:ascii="仿宋" w:hAnsi="仿宋" w:eastAsia="仿宋" w:cs="仿宋"/>
          <w:color w:val="auto"/>
          <w:highlight w:val="none"/>
        </w:rPr>
        <w:t>项目名称：</w:t>
      </w:r>
      <w:r>
        <w:rPr>
          <w:rFonts w:hint="eastAsia" w:ascii="仿宋" w:hAnsi="仿宋" w:eastAsia="仿宋" w:cs="仿宋"/>
          <w:bCs/>
          <w:color w:val="auto"/>
          <w:highlight w:val="none"/>
          <w:lang w:eastAsia="zh-CN"/>
        </w:rPr>
        <w:t>山东第一医科大学（山东省医学科学院）双高计划公共教学科研平台暨临床生物样本库平台建设项目（180）</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r>
        <w:rPr>
          <w:rFonts w:hint="eastAsia" w:ascii="仿宋" w:hAnsi="仿宋" w:cs="仿宋"/>
          <w:color w:val="auto"/>
          <w:highlight w:val="none"/>
          <w:lang w:eastAsia="zh-CN"/>
        </w:rPr>
        <w:t>SDGP370000000202302005898/sdhryw2023180</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计划编号：</w:t>
      </w:r>
      <w:r>
        <w:rPr>
          <w:rFonts w:hint="eastAsia" w:ascii="仿宋" w:hAnsi="仿宋" w:cs="仿宋"/>
          <w:color w:val="auto"/>
          <w:highlight w:val="none"/>
          <w:lang w:eastAsia="zh-CN"/>
        </w:rPr>
        <w:t>37000000014006520230223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eastAsia="仿宋" w:cs="仿宋"/>
          <w:bCs/>
          <w:color w:val="auto"/>
          <w:highlight w:val="none"/>
          <w:lang w:eastAsia="zh-CN"/>
        </w:rPr>
        <w:t>山东第一医科大学（山东省医学科学院）双高计划公共教学科研平台暨临床生物样本库平台建设项目（180）</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6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3"/>
        <w:gridCol w:w="2323"/>
        <w:gridCol w:w="1307"/>
        <w:gridCol w:w="1482"/>
        <w:gridCol w:w="4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60"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1071"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602"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683"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2281"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4" w:hRule="atLeast"/>
          <w:jc w:val="center"/>
        </w:trPr>
        <w:tc>
          <w:tcPr>
            <w:tcW w:w="360"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107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电泳电转系统等设备</w:t>
            </w:r>
          </w:p>
        </w:tc>
        <w:tc>
          <w:tcPr>
            <w:tcW w:w="602"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详见参数</w:t>
            </w:r>
          </w:p>
        </w:tc>
        <w:tc>
          <w:tcPr>
            <w:tcW w:w="683" w:type="pct"/>
            <w:noWrap w:val="0"/>
            <w:vAlign w:val="center"/>
          </w:tcPr>
          <w:p>
            <w:pPr>
              <w:widowControl/>
              <w:ind w:left="0" w:leftChars="0" w:firstLine="0" w:firstLineChars="0"/>
              <w:jc w:val="center"/>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174.2</w:t>
            </w:r>
          </w:p>
        </w:tc>
        <w:tc>
          <w:tcPr>
            <w:tcW w:w="2281"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3、进口产品需提供产品授权；（所投产品为进口产品的）4</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36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p>
        </w:tc>
        <w:tc>
          <w:tcPr>
            <w:tcW w:w="107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多功能全波长微孔检测仪等设备</w:t>
            </w:r>
          </w:p>
        </w:tc>
        <w:tc>
          <w:tcPr>
            <w:tcW w:w="602"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详见参数</w:t>
            </w:r>
          </w:p>
        </w:tc>
        <w:tc>
          <w:tcPr>
            <w:tcW w:w="683" w:type="pct"/>
            <w:noWrap w:val="0"/>
            <w:vAlign w:val="center"/>
          </w:tcPr>
          <w:p>
            <w:pPr>
              <w:widowControl/>
              <w:ind w:left="0" w:leftChars="0" w:firstLine="0" w:firstLineChars="0"/>
              <w:jc w:val="center"/>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48.8</w:t>
            </w:r>
          </w:p>
        </w:tc>
        <w:tc>
          <w:tcPr>
            <w:tcW w:w="2281"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21</w:t>
      </w:r>
      <w:r>
        <w:rPr>
          <w:rFonts w:hint="eastAsia" w:ascii="仿宋" w:hAnsi="仿宋" w:eastAsia="仿宋" w:cs="仿宋"/>
          <w:color w:val="auto"/>
          <w:highlight w:val="none"/>
        </w:rPr>
        <w:t>日至202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27</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lang w:val="en-US" w:eastAsia="zh-CN"/>
        </w:rPr>
        <w:t>进口产品需提供产品授权（所投产品为进口产品的）</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eastAsia="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eastAsia="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23-180报名费+包号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3</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11</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11</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r>
        <w:rPr>
          <w:rFonts w:hint="eastAsia" w:ascii="仿宋" w:hAnsi="仿宋" w:eastAsia="仿宋" w:cs="仿宋"/>
          <w:color w:val="auto"/>
          <w:kern w:val="0"/>
          <w:highlight w:val="none"/>
          <w:lang w:val="en-US" w:eastAsia="zh-CN"/>
        </w:rPr>
        <w:t>A</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eastAsia="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ind w:left="0" w:leftChars="0" w:firstLine="0" w:firstLineChars="0"/>
        <w:jc w:val="center"/>
        <w:rPr>
          <w:rFonts w:hint="eastAsia" w:ascii="仿宋" w:hAnsi="仿宋" w:eastAsia="仿宋" w:cs="仿宋"/>
          <w:b/>
          <w:color w:val="auto"/>
          <w:sz w:val="32"/>
          <w:szCs w:val="32"/>
          <w:highlight w:val="none"/>
        </w:rPr>
      </w:pPr>
      <w:bookmarkStart w:id="2" w:name="_Toc106784519"/>
      <w:bookmarkStart w:id="3" w:name="_Toc69110203"/>
      <w:bookmarkStart w:id="4" w:name="_Toc106784592"/>
    </w:p>
    <w:p>
      <w:pPr>
        <w:ind w:left="0" w:leftChars="0" w:firstLine="0" w:firstLineChar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B包</w:t>
            </w:r>
            <w:r>
              <w:rPr>
                <w:rFonts w:hint="eastAsia" w:ascii="仿宋" w:hAnsi="仿宋" w:eastAsia="仿宋" w:cs="仿宋"/>
                <w:color w:val="auto"/>
                <w:sz w:val="24"/>
                <w:szCs w:val="24"/>
                <w:highlight w:val="none"/>
                <w:lang w:eastAsia="zh-CN"/>
              </w:rPr>
              <w:t>进口产品需提供制造商的授权书或经销证明（授权能追溯到厂家）（若采进口产品的需提供）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eastAsia="仿宋" w:cs="仿宋"/>
                <w:color w:val="auto"/>
                <w:szCs w:val="24"/>
                <w:highlight w:val="none"/>
                <w:lang w:val="en-US" w:eastAsia="zh-CN"/>
              </w:rPr>
              <w:t xml:space="preserve">   </w:t>
            </w:r>
            <w:r>
              <w:rPr>
                <w:rFonts w:hint="eastAsia" w:ascii="仿宋" w:hAnsi="仿宋" w:cs="仿宋"/>
                <w:color w:val="auto"/>
                <w:szCs w:val="24"/>
                <w:highlight w:val="none"/>
                <w:lang w:val="en-US" w:eastAsia="zh-CN"/>
              </w:rPr>
              <w:t>37000000014006520230223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已落实</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eastAsia="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rPr>
            </w:pPr>
            <w:r>
              <w:rPr>
                <w:rFonts w:hint="eastAsia"/>
                <w:lang w:eastAsia="zh-CN"/>
              </w:rPr>
              <w:t>□</w:t>
            </w:r>
            <w:r>
              <w:rPr>
                <w:rFonts w:hint="eastAsia"/>
              </w:rPr>
              <w:t>不组织</w:t>
            </w:r>
          </w:p>
          <w:p>
            <w:pPr>
              <w:adjustRightInd w:val="0"/>
              <w:snapToGrid w:val="0"/>
              <w:spacing w:line="240" w:lineRule="auto"/>
              <w:ind w:firstLine="0" w:firstLineChars="0"/>
              <w:rPr>
                <w:rFonts w:hint="eastAsia"/>
              </w:rPr>
            </w:pPr>
            <w:r>
              <w:rPr>
                <w:rFonts w:hint="eastAsia"/>
                <w:lang w:eastAsia="zh-CN"/>
              </w:rPr>
              <w:t>☑</w:t>
            </w:r>
            <w:r>
              <w:rPr>
                <w:rFonts w:hint="eastAsia"/>
              </w:rPr>
              <w:t>组织</w:t>
            </w:r>
            <w:r>
              <w:rPr>
                <w:rFonts w:hint="eastAsia"/>
                <w:lang w:val="en-US" w:eastAsia="zh-CN"/>
              </w:rPr>
              <w:t xml:space="preserve">  </w:t>
            </w:r>
          </w:p>
          <w:p>
            <w:pPr>
              <w:pStyle w:val="2"/>
              <w:ind w:left="0" w:leftChars="0" w:firstLine="0" w:firstLineChars="0"/>
              <w:jc w:val="both"/>
              <w:rPr>
                <w:rFonts w:hint="eastAsia" w:ascii="仿宋" w:hAnsi="仿宋" w:eastAsia="仿宋" w:cs="仿宋"/>
                <w:color w:val="auto"/>
                <w:highlight w:val="none"/>
                <w:lang w:val="en-US" w:eastAsia="zh-CN"/>
              </w:rPr>
            </w:pPr>
            <w:r>
              <w:rPr>
                <w:rFonts w:hint="eastAsia" w:ascii="仿宋" w:hAnsi="仿宋" w:cs="仿宋"/>
                <w:color w:val="auto"/>
                <w:highlight w:val="none"/>
                <w:lang w:eastAsia="zh-CN"/>
              </w:rPr>
              <w:t>自行踏勘</w:t>
            </w:r>
            <w:r>
              <w:rPr>
                <w:rFonts w:hint="eastAsia" w:ascii="仿宋" w:hAnsi="仿宋" w:cs="仿宋"/>
                <w:color w:val="auto"/>
                <w:highlight w:val="none"/>
                <w:lang w:val="en-US" w:eastAsia="zh-CN"/>
              </w:rPr>
              <w:t xml:space="preserve"> </w:t>
            </w:r>
          </w:p>
          <w:p>
            <w:pPr>
              <w:pStyle w:val="2"/>
              <w:ind w:left="0" w:leftChars="0" w:firstLine="0" w:firstLineChars="0"/>
              <w:jc w:val="both"/>
              <w:rPr>
                <w:rFonts w:hint="eastAsia" w:ascii="仿宋" w:hAnsi="仿宋" w:cs="仿宋"/>
                <w:color w:val="auto"/>
                <w:highlight w:val="none"/>
                <w:lang w:val="en-US" w:eastAsia="zh-CN"/>
              </w:rPr>
            </w:pPr>
            <w:r>
              <w:rPr>
                <w:rFonts w:hint="eastAsia" w:ascii="仿宋" w:hAnsi="仿宋" w:cs="仿宋"/>
                <w:color w:val="auto"/>
                <w:highlight w:val="none"/>
                <w:lang w:val="en-US" w:eastAsia="zh-CN"/>
              </w:rPr>
              <w:t>联系人：毛老师</w:t>
            </w:r>
          </w:p>
          <w:p>
            <w:pPr>
              <w:pStyle w:val="2"/>
              <w:ind w:left="0" w:leftChars="0" w:firstLine="0" w:firstLineChars="0"/>
              <w:jc w:val="both"/>
              <w:rPr>
                <w:rFonts w:hint="eastAsia" w:ascii="仿宋" w:hAnsi="仿宋" w:cs="仿宋"/>
                <w:color w:val="auto"/>
                <w:highlight w:val="none"/>
                <w:lang w:val="en-US" w:eastAsia="zh-CN"/>
              </w:rPr>
            </w:pPr>
            <w:r>
              <w:rPr>
                <w:rFonts w:hint="eastAsia" w:ascii="仿宋" w:hAnsi="仿宋" w:cs="仿宋"/>
                <w:color w:val="auto"/>
                <w:highlight w:val="none"/>
                <w:lang w:val="en-US" w:eastAsia="zh-CN"/>
              </w:rPr>
              <w:t>联系电话：15854850602</w:t>
            </w:r>
          </w:p>
          <w:p>
            <w:pPr>
              <w:adjustRightInd w:val="0"/>
              <w:snapToGrid w:val="0"/>
              <w:spacing w:line="240" w:lineRule="auto"/>
              <w:ind w:firstLine="0" w:firstLineChars="0"/>
              <w:rPr>
                <w:rFonts w:hint="default" w:ascii="仿宋" w:hAnsi="仿宋" w:cs="仿宋"/>
                <w:color w:val="auto"/>
                <w:highlight w:val="none"/>
                <w:lang w:val="en-US" w:eastAsia="zh-CN"/>
              </w:rPr>
            </w:pPr>
            <w:r>
              <w:rPr>
                <w:rFonts w:hint="eastAsia" w:ascii="仿宋" w:hAnsi="仿宋" w:cs="仿宋"/>
                <w:color w:val="auto"/>
                <w:highlight w:val="none"/>
                <w:lang w:val="en-US" w:eastAsia="zh-CN"/>
              </w:rPr>
              <w:t>报名截止之后（7月27日之后</w:t>
            </w:r>
            <w:bookmarkStart w:id="19" w:name="_GoBack"/>
            <w:bookmarkEnd w:id="19"/>
            <w:r>
              <w:rPr>
                <w:rFonts w:hint="eastAsia" w:ascii="仿宋" w:hAnsi="仿宋" w:cs="仿宋"/>
                <w:color w:val="auto"/>
                <w:highlight w:val="none"/>
                <w:lang w:val="en-US" w:eastAsia="zh-CN"/>
              </w:rPr>
              <w:t>）联系甲方约定踏勘时间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2、国产、进口设备：人民币完税报价；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r>
              <w:rPr>
                <w:rFonts w:hint="eastAsia" w:ascii="仿宋" w:hAnsi="仿宋" w:eastAsia="仿宋" w:cs="仿宋"/>
                <w:color w:val="auto"/>
                <w:highlight w:val="none"/>
                <w:lang w:eastAsia="zh-CN"/>
              </w:rPr>
              <w:t>（</w:t>
            </w:r>
            <w:r>
              <w:rPr>
                <w:rFonts w:hint="eastAsia" w:ascii="仿宋" w:hAnsi="仿宋" w:cs="仿宋"/>
                <w:color w:val="auto"/>
                <w:highlight w:val="none"/>
                <w:lang w:eastAsia="zh-CN"/>
              </w:rPr>
              <w:t>签订合同后</w:t>
            </w:r>
            <w:r>
              <w:rPr>
                <w:rFonts w:hint="eastAsia" w:ascii="仿宋" w:hAnsi="仿宋" w:cs="仿宋"/>
                <w:color w:val="auto"/>
                <w:highlight w:val="none"/>
                <w:lang w:val="en-US" w:eastAsia="zh-CN"/>
              </w:rPr>
              <w:t>XXX日内</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cs="仿宋"/>
                <w:color w:val="auto"/>
                <w:sz w:val="24"/>
                <w:highlight w:val="none"/>
                <w:lang w:eastAsia="zh-CN"/>
              </w:rPr>
              <w:t>合同</w:t>
            </w:r>
            <w:r>
              <w:rPr>
                <w:rFonts w:hint="eastAsia" w:ascii="仿宋" w:hAnsi="仿宋" w:eastAsia="仿宋" w:cs="仿宋"/>
                <w:color w:val="auto"/>
                <w:sz w:val="24"/>
                <w:highlight w:val="none"/>
              </w:rPr>
              <w:t>签订后</w:t>
            </w:r>
            <w:r>
              <w:rPr>
                <w:rFonts w:hint="eastAsia" w:ascii="仿宋" w:hAnsi="仿宋" w:cs="仿宋"/>
                <w:color w:val="auto"/>
                <w:sz w:val="24"/>
                <w:highlight w:val="none"/>
                <w:lang w:val="en-US" w:eastAsia="zh-CN"/>
              </w:rPr>
              <w:t>3个工作日</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0%的预付款，采购人确定后7个工作日内支付。项目验收合格、审计定案（若需要）后7个工作日内，支付剩余合同货款。</w:t>
            </w:r>
          </w:p>
          <w:p>
            <w:pPr>
              <w:pStyle w:val="2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进口设备：</w:t>
            </w:r>
            <w:r>
              <w:rPr>
                <w:rFonts w:hint="eastAsia" w:ascii="仿宋" w:hAnsi="仿宋" w:cs="仿宋"/>
                <w:color w:val="auto"/>
                <w:sz w:val="24"/>
                <w:highlight w:val="none"/>
                <w:lang w:eastAsia="zh-CN"/>
              </w:rPr>
              <w:t>合同</w:t>
            </w:r>
            <w:r>
              <w:rPr>
                <w:rFonts w:hint="eastAsia" w:ascii="仿宋" w:hAnsi="仿宋" w:eastAsia="仿宋" w:cs="仿宋"/>
                <w:color w:val="auto"/>
                <w:sz w:val="24"/>
                <w:highlight w:val="none"/>
              </w:rPr>
              <w:t>签订后</w:t>
            </w:r>
            <w:r>
              <w:rPr>
                <w:rFonts w:hint="eastAsia" w:ascii="仿宋" w:hAnsi="仿宋" w:cs="仿宋"/>
                <w:color w:val="auto"/>
                <w:sz w:val="24"/>
                <w:highlight w:val="none"/>
                <w:lang w:val="en-US" w:eastAsia="zh-CN"/>
              </w:rPr>
              <w:t>3个工作日</w:t>
            </w:r>
            <w:r>
              <w:rPr>
                <w:rFonts w:hint="eastAsia" w:ascii="仿宋" w:hAnsi="仿宋" w:eastAsia="仿宋" w:cs="仿宋"/>
                <w:color w:val="auto"/>
                <w:sz w:val="24"/>
                <w:highlight w:val="none"/>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ind w:left="0" w:leftChars="0" w:firstLine="0" w:firstLineChars="0"/>
              <w:rPr>
                <w:rFonts w:hint="eastAsia" w:ascii="仿宋" w:hAnsi="仿宋" w:eastAsia="仿宋" w:cs="仿宋"/>
                <w:color w:val="auto"/>
                <w:highlight w:val="none"/>
              </w:rPr>
            </w:pPr>
            <w:r>
              <w:rPr>
                <w:rFonts w:hint="eastAsia" w:ascii="仿宋" w:hAnsi="仿宋" w:eastAsia="仿宋" w:cs="仿宋"/>
                <w:color w:val="auto"/>
                <w:sz w:val="24"/>
                <w:highlight w:val="none"/>
              </w:rPr>
              <w:t>外贸公司开具以中标人指定的国外生产商为受益人的不可撤销即期信用证，或货到后电汇。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5"/>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11</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11</w:t>
            </w:r>
            <w:r>
              <w:rPr>
                <w:rFonts w:hint="eastAsia" w:ascii="仿宋" w:hAnsi="仿宋" w:eastAsia="仿宋" w:cs="仿宋"/>
                <w:color w:val="auto"/>
                <w:szCs w:val="24"/>
                <w:highlight w:val="none"/>
              </w:rPr>
              <w:t>日0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eastAsia="仿宋" w:cs="仿宋"/>
                <w:color w:val="auto"/>
                <w:szCs w:val="24"/>
                <w:highlight w:val="none"/>
                <w:lang w:val="en-US" w:eastAsia="zh-CN"/>
              </w:rPr>
              <w:t>70%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8"/>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93"/>
      <w:bookmarkStart w:id="6" w:name="_Toc106784520"/>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69110205"/>
      <w:bookmarkStart w:id="8" w:name="_Toc106784521"/>
      <w:bookmarkStart w:id="9" w:name="_Toc106784594"/>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95"/>
      <w:bookmarkStart w:id="11" w:name="_Toc106784522"/>
      <w:bookmarkStart w:id="12" w:name="_Toc69110206"/>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69110207"/>
      <w:bookmarkStart w:id="14" w:name="_Toc106784596"/>
      <w:bookmarkStart w:id="15" w:name="_Toc106784523"/>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0"/>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0"/>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0"/>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0"/>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eastAsia="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月至投标截止日止，以合同签订时间为准）完成同类项目</w:t>
            </w:r>
            <w:r>
              <w:rPr>
                <w:rFonts w:hint="eastAsia" w:ascii="仿宋" w:hAnsi="仿宋" w:eastAsia="仿宋" w:cs="仿宋"/>
                <w:bCs/>
                <w:color w:val="auto"/>
                <w:sz w:val="24"/>
                <w:highlight w:val="none"/>
                <w:lang w:eastAsia="zh-CN"/>
              </w:rPr>
              <w:t>（核心产品）</w:t>
            </w:r>
            <w:r>
              <w:rPr>
                <w:rFonts w:hint="eastAsia" w:ascii="仿宋" w:hAnsi="仿宋" w:eastAsia="仿宋" w:cs="仿宋"/>
                <w:bCs/>
                <w:color w:val="auto"/>
                <w:sz w:val="24"/>
                <w:highlight w:val="none"/>
              </w:rPr>
              <w:t>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r>
        <w:rPr>
          <w:rFonts w:hint="eastAsia" w:ascii="仿宋" w:hAnsi="仿宋" w:eastAsia="仿宋" w:cs="仿宋"/>
          <w:b/>
          <w:color w:val="auto"/>
          <w:sz w:val="32"/>
          <w:szCs w:val="32"/>
          <w:highlight w:val="none"/>
        </w:rPr>
        <w:br w:type="page"/>
      </w:r>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97"/>
      <w:bookmarkStart w:id="18" w:name="_Toc106784524"/>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Cs w:val="24"/>
          <w:highlight w:val="none"/>
          <w:lang w:val="en-US" w:eastAsia="zh-CN"/>
        </w:rPr>
        <w:t>1</w:t>
      </w:r>
      <w:r>
        <w:rPr>
          <w:rFonts w:hint="eastAsia" w:ascii="仿宋" w:hAnsi="仿宋" w:eastAsia="仿宋" w:cs="仿宋"/>
          <w:bCs/>
          <w:color w:val="auto"/>
          <w:szCs w:val="24"/>
          <w:highlight w:val="none"/>
        </w:rPr>
        <w:t>、本项目各包均为交钥匙工程</w:t>
      </w:r>
      <w:r>
        <w:rPr>
          <w:rFonts w:hint="eastAsia" w:ascii="仿宋" w:hAnsi="仿宋" w:eastAsia="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p>
    <w:p>
      <w:pPr>
        <w:pStyle w:val="33"/>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2、未标注可采进口的设备，不允许采购进口产品。</w:t>
      </w:r>
    </w:p>
    <w:p>
      <w:pPr>
        <w:pStyle w:val="33"/>
        <w:spacing w:line="360" w:lineRule="auto"/>
        <w:ind w:firstLine="200" w:firstLineChars="83"/>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pStyle w:val="33"/>
        <w:spacing w:line="360" w:lineRule="auto"/>
        <w:ind w:firstLine="200" w:firstLineChars="83"/>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总预算：223万元    </w:t>
      </w:r>
    </w:p>
    <w:p>
      <w:p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 xml:space="preserve">  A包</w:t>
      </w:r>
      <w:r>
        <w:rPr>
          <w:rFonts w:hint="eastAsia" w:ascii="仿宋" w:hAnsi="仿宋" w:eastAsia="仿宋" w:cs="仿宋"/>
          <w:b/>
          <w:bCs/>
          <w:sz w:val="28"/>
          <w:szCs w:val="36"/>
          <w:lang w:eastAsia="zh-CN"/>
        </w:rPr>
        <w:t>预算：</w:t>
      </w:r>
      <w:r>
        <w:rPr>
          <w:rFonts w:hint="eastAsia" w:ascii="仿宋" w:hAnsi="仿宋" w:eastAsia="仿宋" w:cs="仿宋"/>
          <w:b/>
          <w:bCs/>
          <w:sz w:val="28"/>
          <w:szCs w:val="36"/>
          <w:lang w:val="en-US" w:eastAsia="zh-CN"/>
        </w:rPr>
        <w:t xml:space="preserve">174.2万元  </w:t>
      </w:r>
    </w:p>
    <w:tbl>
      <w:tblPr>
        <w:tblStyle w:val="23"/>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588"/>
        <w:gridCol w:w="489"/>
        <w:gridCol w:w="564"/>
        <w:gridCol w:w="7191"/>
        <w:gridCol w:w="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365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265"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电泳电转系统</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1.用途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用于蛋白质聚丙烯酰胺凝胶电泳实验，可适应变性凝胶电泳和天然凝胶电泳。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2电泳仪电源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 输出范围：电压10～300 V；电流4～400 mA；功率≥75 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.2 输出类型：恒压、恒流，可定时1～999分钟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.3 有暂停/继续功能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.4 有断电后自动恢复功能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.5 输出插孔4对并联，可同时对四个同类型的电泳槽进行电泳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.6 安全标准：通过EN-61010,CE标准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电泳槽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.1标准配置：电泳槽，玻璃板，灌胶系统，上样引导装置，电泳梳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.2性能指标：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.2.1同一槽内可同时进行4块SDS-PAGE凝胶的电泳实验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.2.2胶面积：≥8.3x7.3cm；短玻璃板：≥10.1x7.3cm；长玻璃板：≥10.1x8.2cm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.2.3玻璃板：封边垫条永久性地固定在长玻板上，保证玻板精确对齐，防止漏胶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.2.4灌胶系统：平行排列的设计能同时看到正在灌制的两块凝胶，弹簧杠杆设计使得软橡胶衬垫产生良好的密封性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.2.5上样引导装置：防止泳道的遗漏上样或重复上样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.2.6电泳梳：特殊的塑料电泳梳不会抑制凝胶聚合反应，制胶过程中，内置的脊可避免在灌胶过程时的空气接触，保证均一的凝胶聚合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.2.7模块化：可换置转印（westernblot）等模块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电转印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.1 标准配置：转印槽，转印夹，海绵垫，冷却芯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.2 性能指标：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.2.1 参数设置灵活。可以200V电压转移，仅需1个小时，也可以30V过夜转移。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.2.2 在低压下也能获得高效、稳定的转移。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.2.3 具有超冷却芯和水循环装置，可用于酶(4℃)或高强度转移，即使进行24小时的转移也不存在缓冲液消耗的问题。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.2.4 阴极用涂有铂的钛作成，阳极采用不锈钢。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.2.5 整体大小：≤16*12*18 cm；最大胶尺寸：≥7.5*10 cm；缓冲液体积：≤450 ml；胶容量：≥2块小胶</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生物安全柜（双工位）</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1.A2级认证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.工作区尺寸：宽、深、高≥1200mm×570mm×660mm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.气流模式：30%外排，70%循环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.下降、流入气流速：下降气流平均流速≥ 0.35m/s；进气流平均流速 ≥0.5m/s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.风速实时显示：使用温度补偿型风速传感器，实时数字式监控和显示下降气流和流入气流速度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.过滤效果：两块世界知名品牌超高效微皱褶无间隔过滤器，针对0.12μm颗粒系过滤效率≥99.999%</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.洁净等级：ISO14644.1标准3级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.风机系统：ECM风机系统，具有电压波动补偿和阻力感应补偿功能，在190～250V宽电压波动范围内保持恒定风速，过滤器堵塞压力增加300%情况下仍提供安全风速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 xml:space="preserve">.控制器系统：实时显示安全柜运行参数：安全柜的进气流，沉降气流在液晶显示屏上实时显示；可显示滤器寿命，温度，紫外灯寿命，前窗高度状态提示；有一般用户，管理员和工程师三种使用权限；当气流有波动时提供声光报警。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.柜体：≥5度角倾斜式人体工程学设计。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.操作台面：一体成型304不锈钢浅盘式设计。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.操作室：304不锈钢材质，工作腔两侧与后壁一次冲压成形，大圆弧角设计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.操作前窗：无边框滑动式前窗，防爆、抗紫外线、双层覆膜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.侧壁引流孔设计：前窗玻璃与操作室侧壁接合处有增强的侧壁引流孔设计，；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.柜体涂层：柜体外部IsocideTM含银离子抗菌涂层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.照度：≥1000Lux，荧光灯位于非污染区域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.噪音：噪音＜65dB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.搁手架：整块抛光不锈钢材质，高于工作台面，不会阻挡前进气孔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19</w:t>
            </w:r>
            <w:r>
              <w:rPr>
                <w:rFonts w:hint="eastAsia" w:ascii="仿宋" w:hAnsi="仿宋" w:eastAsia="仿宋" w:cs="仿宋"/>
                <w:i w:val="0"/>
                <w:iCs w:val="0"/>
                <w:color w:val="000000"/>
                <w:kern w:val="0"/>
                <w:sz w:val="24"/>
                <w:szCs w:val="24"/>
                <w:u w:val="none"/>
                <w:lang w:val="en-US" w:eastAsia="zh-CN" w:bidi="ar"/>
              </w:rPr>
              <w:t>.电源插座及水气接口：两个电源插座预留孔分别位于操作室两侧，四个水气接口预留位分别交错位于操作室两侧；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.支架：配置可水平调节的带万向脚轮固定高度支架。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.必备配件、附件和专用工具；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.技术文件：供货方提供操作使用、安装、维护维修手册；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.技术服务和培训：供货方免费现场仪器安装、调试和培训。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.人员防护：采用YY0569的方法去检测，碘化钾法测试，前窗操作口的保护因子≥1*10</w:t>
            </w:r>
            <w:r>
              <w:rPr>
                <w:rFonts w:hint="eastAsia" w:ascii="仿宋" w:hAnsi="仿宋" w:eastAsia="仿宋" w:cs="仿宋"/>
                <w:i w:val="0"/>
                <w:iCs w:val="0"/>
                <w:color w:val="000000"/>
                <w:kern w:val="0"/>
                <w:sz w:val="24"/>
                <w:szCs w:val="24"/>
                <w:u w:val="none"/>
                <w:vertAlign w:val="superscript"/>
                <w:lang w:val="en-US" w:eastAsia="zh-CN" w:bidi="ar"/>
              </w:rPr>
              <w:t>5</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 产品保护：用YY0569的方法去检测，在琼脂培养皿上的枯草芽孢杆菌芽孢≤5CFU；</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.交叉污染保护：用YY0569的方法去检测，在琼脂培养皿上的枯草芽孢杆菌芽孢≤2CFU</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超纯水机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1.技术指标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1.1系统由自来水进水，同时生产纯水和符合ASTM I级水的超纯水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1.2纯水产水水质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1.2.1进水：自来水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1.2.2离子去除率≥98%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1.2.3微生物＜0.001cfu/ml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1.2.4颗粒物＜1/ml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1.2.5制水速度≥8 L/h</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1.3超纯水产水水质：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1.3.1电阻率≥18.2 MΩ•cm＠25℃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1.3.2总有机碳含量(TOC)：＜ 5ppb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1.3.3微生物＜0.001cfu/ml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w:t>
            </w:r>
            <w:r>
              <w:rPr>
                <w:rFonts w:hint="eastAsia" w:ascii="仿宋" w:hAnsi="仿宋" w:cs="仿宋"/>
                <w:i w:val="0"/>
                <w:iCs w:val="0"/>
                <w:color w:val="000000"/>
                <w:kern w:val="0"/>
                <w:sz w:val="24"/>
                <w:szCs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1.3.4颗粒物＜1/ml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1.3.5内毒素&lt;0.001EU/ml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 xml:space="preserve"> 1.3.6 RNase&lt;1pg/ml, DNase&lt;5pg/ml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w:t>
            </w:r>
            <w:r>
              <w:rPr>
                <w:rFonts w:hint="eastAsia" w:ascii="仿宋" w:hAnsi="仿宋" w:cs="仿宋"/>
                <w:i w:val="0"/>
                <w:iCs w:val="0"/>
                <w:color w:val="000000"/>
                <w:kern w:val="0"/>
                <w:sz w:val="24"/>
                <w:szCs w:val="24"/>
                <w:u w:val="non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 xml:space="preserve">1.3.7流速≥1L/min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 xml:space="preserve"> 集成式的预处理及反渗透柱，并具有高效催化剂移除氯气等氧化剂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 xml:space="preserve"> 超纯化柱采用全下垂流道设计，嵌套式双线程纯化工艺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 xml:space="preserve"> 内置185/254nm双波长紫外灯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内置储水容器，应用抛弃型储水技术，使用低溶出的生物安全性材料S71 Film，容积≥5L，材质符合USP87，88，661及ISO 10993标准；配有单向阀，可完全避免空气进入造成污染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膜过滤器去除颗粒物和细菌，0.45+0.2微米双层聚醚砜膜，有效过滤面积≥150cm</w:t>
            </w:r>
            <w:r>
              <w:rPr>
                <w:rFonts w:hint="eastAsia" w:ascii="仿宋" w:hAnsi="仿宋" w:eastAsia="仿宋" w:cs="仿宋"/>
                <w:i w:val="0"/>
                <w:iCs w:val="0"/>
                <w:color w:val="000000"/>
                <w:kern w:val="0"/>
                <w:sz w:val="24"/>
                <w:szCs w:val="24"/>
                <w:u w:val="none"/>
                <w:vertAlign w:val="superscript"/>
                <w:lang w:val="en-US" w:eastAsia="zh-CN" w:bidi="ar"/>
              </w:rPr>
              <w:t>2</w:t>
            </w:r>
            <w:r>
              <w:rPr>
                <w:rFonts w:hint="eastAsia" w:ascii="仿宋" w:hAnsi="仿宋" w:eastAsia="仿宋" w:cs="仿宋"/>
                <w:i w:val="0"/>
                <w:iCs w:val="0"/>
                <w:color w:val="000000"/>
                <w:kern w:val="0"/>
                <w:sz w:val="24"/>
                <w:szCs w:val="24"/>
                <w:u w:val="none"/>
                <w:lang w:val="en-US" w:eastAsia="zh-CN" w:bidi="ar"/>
              </w:rPr>
              <w:t>（提供符合HIMA/ASTM F-838-05细菌挑战性实验的证书）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具有定量取水功能，范围50ml～5L，50ml步进，并可设定常用定量取水体积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10</w:t>
            </w:r>
            <w:r>
              <w:rPr>
                <w:rFonts w:hint="eastAsia" w:ascii="仿宋" w:hAnsi="仿宋" w:eastAsia="仿宋" w:cs="仿宋"/>
                <w:i w:val="0"/>
                <w:iCs w:val="0"/>
                <w:color w:val="000000"/>
                <w:kern w:val="0"/>
                <w:sz w:val="24"/>
                <w:szCs w:val="24"/>
                <w:u w:val="none"/>
                <w:lang w:val="en-US" w:eastAsia="zh-CN" w:bidi="ar"/>
              </w:rPr>
              <w:t>彩色触摸显示屏（可戴手套操作），中文等多语言操作系统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耗材均采用快接口设计，更换方便，并具有中文操作指引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 xml:space="preserve"> 配置mini USB接口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 xml:space="preserve"> 具有密码保护功能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完善的报警提示及中文操作说明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内置双泵系统，可快速制备纯水及分配超纯水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具有Aqua Stop漏水保护功能，自动检测系统漏水并切断进水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产成水符合或超过ASTM，NCCLS，ISO或 USP 的要求</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台式冷冻高速离心机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1、最大相对离心力/转速≥ 21,000 × g/15,000 rpm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2、转速/离心力： 100 ‐ 5,000 rpm，10 rpm 递增；5,000 -15,060 rpm，100 rpm 递增；1-21,300 x g；50 ‐ 2990 x g, 10 rcf 递增；1-21,300 x g，100 rcf递增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3、最大容量： 10 × 5 mL 离心管，24 × 1.5/2.0 mL 离心管，96 × 0.2 mL PCR管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4、电压：230 V, 50-60 Hz   ； 电流：1.6 A, 360 W（最大）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、噪音水平：&lt;54 dB(A)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、温控范围：-10 °C 至 40 °C</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、从零加速至最高转速的时间≤15 秒 ； 从最高转速降速至零的时间≤15 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、离心计时：10 秒- 9 小时59 分钟，可连续离心、瞬时离心，有单独的瞬时离心按键，便于快速离心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、离心机盖设计确保静音操作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10</w:t>
            </w:r>
            <w:r>
              <w:rPr>
                <w:rFonts w:hint="eastAsia" w:ascii="仿宋" w:hAnsi="仿宋" w:eastAsia="仿宋" w:cs="仿宋"/>
                <w:i w:val="0"/>
                <w:iCs w:val="0"/>
                <w:color w:val="000000"/>
                <w:kern w:val="0"/>
                <w:sz w:val="24"/>
                <w:szCs w:val="24"/>
                <w:u w:val="none"/>
                <w:lang w:val="en-US" w:eastAsia="zh-CN" w:bidi="ar"/>
              </w:rPr>
              <w:t>、软刹车功能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、具有 rpm（转速）/ rcf（相对离心力）转换按键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、具有铝合金材质转子、气密性转子盖，转子气密性经测试并认证，可高温高压灭菌。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、带有PTFE 涂层的耐腐蚀性的转子，可用于腐蚀性溶剂的分离，同时更易清洁，气溶胶密闭性也实现了危险样品的安全离心。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、锁盖方式符合人体工程学：旋转1/4 圈即可快速锁定转子盖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、离心结束计时功能，可以显示运行停止后的时间，便于观察判断是否需要再次离心。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、快速预冷功能，从室温（21 °C）降至 4 °C ≤8 分钟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、高效压缩机控制，提供自动待机功能，优化制冷性能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18</w:t>
            </w:r>
            <w:r>
              <w:rPr>
                <w:rFonts w:hint="eastAsia" w:ascii="仿宋" w:hAnsi="仿宋" w:eastAsia="仿宋" w:cs="仿宋"/>
                <w:i w:val="0"/>
                <w:iCs w:val="0"/>
                <w:color w:val="000000"/>
                <w:kern w:val="0"/>
                <w:sz w:val="24"/>
                <w:szCs w:val="24"/>
                <w:u w:val="none"/>
                <w:lang w:val="en-US" w:eastAsia="zh-CN" w:bidi="ar"/>
              </w:rPr>
              <w:t>、冷凝水槽防止离心机腔体内冷凝水积聚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19</w:t>
            </w:r>
            <w:r>
              <w:rPr>
                <w:rFonts w:hint="eastAsia" w:ascii="仿宋" w:hAnsi="仿宋" w:eastAsia="仿宋" w:cs="仿宋"/>
                <w:i w:val="0"/>
                <w:iCs w:val="0"/>
                <w:color w:val="000000"/>
                <w:kern w:val="0"/>
                <w:sz w:val="24"/>
                <w:szCs w:val="24"/>
                <w:u w:val="none"/>
                <w:lang w:val="en-US" w:eastAsia="zh-CN" w:bidi="ar"/>
              </w:rPr>
              <w:t>、不使用离心功能且离心机盖关闭时，可以进行持续制冷, 确保温度恒定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、具有定速计时功能，可在达到预定转速后再倒计时确保离心效果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配置：主机、含气密性固定角转</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紫外分光光度计</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主要性能特点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1.1光学系统：双光束，采用全息凹面光栅的单色器；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具有仪器性能自动监测功能；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全自动波长校正定位，自动校正基线，自动切换滤色片与光源；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多波长吸光度测量（可1～6个波长同时测量）、样品浓度检测（1～3波长法测量,标准曲线校正或系数输入法计算）、波长扫描(多阶导数，谱图平滑处理，谱图计算等数据处理功能)、时间扫描（最长扫描时间达24h，活性值自动计算），比值计算等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1.5测量结果报告可按样品测量参数、测量数据及谱图自由输出打印。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 一体化铸铝底座，保证光学系统稳定性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 波长范围：190～1100 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2.2光谱带宽：1.5nm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2.3波长准确度：±0.3 nm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2.4波长重复性：±0.1 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2.5杂散光≤0.05%T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2.6最大波长扫描速度≥3600 nm/min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2.7波长移动速度≥6000 nm/min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2.8吸光度准确性≤±0.002Abs（0～0.5Abs）；±0.004Abs（0.5～1Abs）；±0.008Abs（1～2Abs）；±0.3％T （依据NIST930D标准滤色片）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2.9吸光度重复性≤±0.001Abs（0～0.5Abs）；±0.002Abs（0.5～1Abs）；±0.004Abs（1～2Abs）；±0.15％T（依据NIST930D标准滤色片）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2.10基线稳定性≤0.0003 Abs/h(500nm,2小时预热)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2.11噪声水平≤0.0003 Abs (500nm)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2.12光源：钨灯、氘灯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2.13光源切换点：自动（325nm～370nm范围内可设定）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2.14 检测器：硅光二极管×2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软件功能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 测量功能：光谱扫描、时间扫描、定量分析、多波长测量、动力学测试、核酸/蛋白质测量、OD600测量；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3.2 控制功能: 波长移动、自动校零、仪器波长自动校正、暗电流扣除、自动吸样器及自动六连池程序控制、光程校正等；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3.3 测量: 开机初始化、测量条件的设定、标准或EXCEL格式报告输出或存储；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3.4 数据显示: 光谱图及数据同时显示、谱图叠加；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3.5定量方式: 1～3个波长定量、常数输入法、标准曲线法(1次.2次.3次函数及折线拟合)定量、ABS系数计算；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3.6数据处理: 微分、导数、平滑、运算(图谱与图谱,图谱与数值)、动力学活性值计算、平均值、标准偏差及相对标准偏差自动计算。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3.7石英比色皿≥6</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万分之一天平</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主要参数：天平应具有金属机架和过载保护功能，采用5吋TFT 触摸串口屏； 电磁力传感器  标配RS232接口、保存数据≥10组、中英文界面切换、精细铝底座, 3窗口, 不锈钢秤盘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1、最大称量值：220 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2、可读性：≤0.1mg；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3、重复性：≤0.1mg；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4、线性误差：≤0.2mg；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5、稳定时间：≤3s；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6、灵敏度温度漂移：≤2.0 ppm/˚C；</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7、秤盘外形尺寸 Ø：90mm；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8、应用程序：计件称量、密度测定、百分比称量；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9、配置要求：具有连接RS打印机接口，可选配固体和液体的密度组件；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10、外部校准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11、单位：15种国际单位 mg、 g、ct、oz、ozt、1b、dr、GN、dwt、mm、tLJ、tLt、tLh、tmR、tAR</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核酸提取仪</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1、抽屉式进样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2、≥5个风扇对流设计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3、样品通量：1～32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4、处理体积：50～1000μl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5、提纯孔间差：CV&lt;5%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6、磁珠回收率：&gt;95%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7、振荡混合：≥10档速度可调，多种混合方式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8、程序管理：软件拥有加密功能，防止篡改程序或误删程序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9、裂解温度：室温～120℃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10、洗脱温度：室温～120℃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11、操作界面：7吋触摸屏，≥3个快捷键，外接鼠标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12、仪器扩展接口：标准USB，以太网口，无线wiﬁ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13、照明系统：有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14、净化消毒：风扇排气、紫外消毒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15、拥有该产品CE证书</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高压灭菌器</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1、罐体部分具有国家颁发的压力容器设计、制造许可证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2、全机型冷却风扇标准装备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3、翻盖式高性能高压蒸汽灭菌器，最高使用温度≥135℃，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4、具有数码式操作控制面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5、槽内温度及推移过程通过LED实时显示监测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6、具有三重压力盖开启保护锁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7、搭载定时开始和预热功能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8、灭菌器内腔采用3mm厚不锈钢制作，表面经镜面抛光、防腐处理；设计使用年限：20年；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9、GLP/GMP检测规则对应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10、温度显示、控制精度≤0.1℃；使用温度范围：45～135℃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45-80℃（预热温度）  45～60℃（保温工程） 65～100℃（溶解工程）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105～135℃（灭菌工程）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11、最高使用压力：0.26MPa，压力表和压力安全阀都可方便的进行拆卸。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12、使用环境温度：5～35℃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13、手动上下翻盖开启式（附有安全锁定机构）</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14、排气阀：全开放用和慢开放用各一个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15、其他配置用接口：样品传感器用（1/4），记录仪用（1/4），压力表用（电磁阀配管分支）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16、冷却风扇：轴流风扇马达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17、控制器：微电脑PID控制，对话型输入型式，避免重复输入；上下键数码设定显示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18、定时功能（任意模式）：定时0或者1分—99小时59分，分解能力：1分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19、运行模式：器具灭菌模式，液体灭菌模式，灭菌保温模式，溶解模式，手动操作模式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20、其他功能：键盘锁定功能、预约功能、记忆功能、预热功能、强制冷却功能、图形锁定功能、故障发生履历查阅（20件）、时间累计、时间显示、操作音ON/OFF设定功能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安全装置：自诊断功能、传感器异常、SSR短路、加热器断线、空烧防止、排水箱未设置警告、压力盖锁定异常、内存异常、专门蒸汽接收杯、过电流漏电保护开关、异常时自动中止运行并进行蜂鸣警报和故障显示、独立防止过温功能、安全阀，倡导以人为本的安全、环保理念</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22、罐内有效尺寸：内径≥370ХH750mm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23、罐体有效容积≥80L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24、电源电压：AC200—240V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25、附属品：灭菌框3个，蒸汽接收杯1个，排水箱1个，排水管1根，抱箍1个，灭菌效果测试卡100片</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电热恒温鼓风干燥箱</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1.电源电压：AC220V 50HZ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2.控温范围：RT+10～200℃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3.温度分辨率≤0.1℃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4.温度波动度≤±1℃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5.工作环境温度：5～40℃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6.消耗功率：1090W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7.工作室尺寸≥420x350x350（mm）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.载物托架：2块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.定时范围：0～9999min</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制冰机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1、电源电压:220V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2、制冰方式： 双螺旋挤压式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3、制冰量 (kg/24h)≥50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4、储冰量 (kg) ≥15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5、冷凝方式 :风冷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6、耗水量(L/H) ≤2.0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7、压缩机/制冷剂 ：进口无氟/R134a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8、箱体外壳 :304不锈钢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9、冰型 :不规则的细小颗粒状的雪花碎冰</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仓库货架</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金属材质：钢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尺寸（长*宽*高）：150*50*200cm</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安全柜</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双人双锁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内部尺寸：H740*W507*D370mm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1块可调节镀锌层板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防漏液槽设计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带安检证书，带静电夹</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6"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手术显微镜</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一、适用范围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适用于手外科、整形外科、计划生育科，男科，妇科等血管吻合的显微手术</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二、机械性能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1、机架弹簧臂调节范围：≥300mm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2、电动微调升降范围：≥40mm，速度：2.5mm/s（脚踏电动升降）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3、横臂最大回转半径：800mm ， 横臂伸展长度1100mm。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4、 物镜距离地面最低850mm，最高1200mm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5、目距调节范围：44mm～80mm（国家标准是55mm～75mm）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6、方向调节范围：水平±180º，左右±90º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三、电气性能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1、光斑中心最大照度：≥45000LX</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2、照明类型：0°冷光源同轴照明；照明灯泡：8V/50W 卤钨灯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3、电源电压：AC220V  ±1%  50HZ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四、光学性能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1、两组四通道光学系统，增加图像的分辨率、对比度和景深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2、双人双目180°体位，同光路、同倍率、同方位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3、主镜倍率：10X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4、目镜放大倍率：12.5X/22B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5、视场≥27.5mm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6、工作距离≥200mm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7、屈光度调节范围：±6D双目</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病理取材台</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采用开放式“上送下排”的通透式气流组织设计（即在传统排风取材台的基础上加入新风系统）；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2、机体采用优质304不锈钢材质，尺寸≥1800*800*1950mm，双通道上送下排，与空气处理净化系统无缝对接，能够迅速彻底地排除组织异味及有毒有害气体，有效防止污染物的扩散，有效防护保障操作人员生物安全；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3、顶层为下送式层流送风层，可送净化新风量≥600m</w:t>
            </w:r>
            <w:r>
              <w:rPr>
                <w:rFonts w:hint="eastAsia" w:ascii="仿宋" w:hAnsi="仿宋" w:eastAsia="仿宋" w:cs="仿宋"/>
                <w:i w:val="0"/>
                <w:iCs w:val="0"/>
                <w:color w:val="000000"/>
                <w:kern w:val="0"/>
                <w:sz w:val="24"/>
                <w:szCs w:val="24"/>
                <w:u w:val="none"/>
                <w:vertAlign w:val="superscript"/>
                <w:lang w:val="en-US" w:eastAsia="zh-CN" w:bidi="ar"/>
              </w:rPr>
              <w:t>3</w:t>
            </w:r>
            <w:r>
              <w:rPr>
                <w:rFonts w:hint="eastAsia" w:ascii="仿宋" w:hAnsi="仿宋" w:eastAsia="仿宋" w:cs="仿宋"/>
                <w:i w:val="0"/>
                <w:iCs w:val="0"/>
                <w:color w:val="000000"/>
                <w:kern w:val="0"/>
                <w:sz w:val="24"/>
                <w:szCs w:val="24"/>
                <w:u w:val="none"/>
                <w:lang w:val="en-US" w:eastAsia="zh-CN" w:bidi="ar"/>
              </w:rPr>
              <w:t>/h，风速可实时动态指示。顶层设计有嵌入式LED照明光源、嵌入式紫外消毒灯及万向匀光射灯，光源面积≥35%，同时集成显示器支架；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4、下层为下排式水气分离操作面，配一体化内置水池，操作台面与水池方向保持倾斜；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5、台面导流孔工作区为316不锈钢材质，台面集成冷热水龙头、不锈钢抽拉式冲洗器，可冲洗到不同的工作区域，嵌入式防标本下漏专用层架水池，层架面积覆盖水池面积≥95%，有效阻止微小标本遗失；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6、下水系统配置电动型废弃标本管路粉碎系统，采用启动控制，处理多余标本。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7、设备采用触摸式一体化控制及电源，具有送排风一键智能启停系统，整机电路系统配备漏电保护装置，过载保护装置，确保柜体电路对人员的绝对安全；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8、定时启停紫外消毒系统，可依据用于需求个性化设置“无人静默”消毒时间段；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9、供应商负责安装调试</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小动物麻醉机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1.采用标准的开放式呼吸非循环回路式设计，减少死腔；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2.用于大鼠、小鼠、兔子、猫、仓鼠、豚鼠等≤7kg动物的吸入式麻醉；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3.蒸发器采用可变旁路专用定量型回路外设计原理，不产生泵效应和抗倾斜功能；输出压力波动范围P≤2.5kPa，内部可承受50kPa压力无泄漏，使用温度范围10-35℃；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4.蒸发器容量≥120ml，带流量和温度自动补偿功能；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5.具备精确的氧气流量计，流量可控范围0～1L/min和0～4L/min; 圆柱形浮子指示，流量调节过程稳定，不受气流影响，不产生上下跳动现象；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6.Toggle开关，快速切换气路通路，寿命＞10万次；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7.快速充氧开关，最大充氧速度≥10L/min，以最快速度排除管道或麻醉诱导盒中的残余麻醉混合气体；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8.可连接氧气钢瓶、制氧机、空气泵；可选择氧气、空气、二氧化碳、笑气、氮气等作为供气气源。其中空气泵空气输出最大流量≥18 L/min，输出最大压力≥18 kPa，最大真空度320mbar；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蒸发罐全检机制：蒸发器出厂全检，每一只都精准质检。输出浓度可调，输出不受流量、温度、流速、压力变化影响，安全锁定装置防止麻醉药意外挥发。良好的温度和流量补偿性能，在10℃室温时仍然保持准确的浓度输出，精确度达15%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10.旋转浓度调节盘，异氟烷浓度调节范围0～5%，精度≥0.5%；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11.带有便携把手；铝合金材料制作，整机重量＜7.5kg，便携可移动，可升级为移动式麻醉机；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12.可根据实验要求和不同种类不同大小动物选择各种规格配件（诱导盒、麻醉面罩、麻醉气体回收系统等）；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提供废气主动回收功能，采用超静音电机，噪音＜50dB；风速可调节范围8～60L/min，且流速连续可调并实时显示于LED屏幕；具有称重功能，称量范围为1～2000g，分辨率≤1g，两级报警≥990g饱和预警、≥1000g超重报警，报警声光提示，可一键报警静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过滤罐活性炭吸附，其中大号过滤罐出厂重量800g，饱和吸收增量200g；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15.诱导盒翻盖式设计，且顶盖加厚，顶盖与盒体接触的中间部分添加塑料密封条，密封性好， 翻盖后有挡板，防止顶盖坠落或折断，诱导盒底部具有防倾倒设计；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16.具有CE、MSDS认证；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17.蒸发器采用最先进的设计方式，可以精确控制麻醉剂的输出浓度；药液使用情况可视，全封闭式加药；配有移动式支架，可以充分满足不同应用场景的需求。</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PCR仪</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1、≥7吋TFT高清真彩全触控液晶屏，曲线图形实时显示程序；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2、使用进口半导体芯片，循环次数≥一百万次；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3、样品台容量: 96孔*0.2ml+77孔*0.5ml，另有96孔*0.2ml、384、9677+原位载盘样品台可更换；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4、最大变温速度≥5℃/s；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5、中英文双语可选界面；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6、全新开合热盖技术，有防过压的声音提示功能，无级可微调热盖，热盖自动关闭功能；热盖温度：30℃～112℃可调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7、样品台温度范围：0℃～105℃；梯度范围：30℃～105℃；样品台温度均匀性：≤±0.2℃；样品台温度准确性： ≤±0.1℃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8、主机可储存10，000个以上PCR标准程序, 还可通过U盘无限量下载程序；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9、具有前进风后出风的风道设计。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10、具有多用户登录并有密码保护功能，有TM计算器，有程序向导功能。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11、连接电脑可实现一台电脑对多台PCR的远程控制和管理。</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17</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空调</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空调类型：立柜式（圆柱式设计）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冷暖类型：冷暖型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变频/定频 变频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空调匹数 2P</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能效等级：三级能效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能效比：3.8</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制冷剂 R32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制冷量≥5200W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制热量≥7120W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10.</w:t>
            </w:r>
            <w:r>
              <w:rPr>
                <w:rFonts w:hint="eastAsia" w:ascii="仿宋" w:hAnsi="仿宋" w:eastAsia="仿宋" w:cs="仿宋"/>
                <w:i w:val="0"/>
                <w:iCs w:val="0"/>
                <w:color w:val="000000"/>
                <w:kern w:val="0"/>
                <w:sz w:val="24"/>
                <w:szCs w:val="24"/>
                <w:u w:val="none"/>
                <w:lang w:val="en-US" w:eastAsia="zh-CN" w:bidi="ar"/>
              </w:rPr>
              <w:t>室内机参考尺寸 416×1810×433mm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11.</w:t>
            </w:r>
            <w:r>
              <w:rPr>
                <w:rFonts w:hint="eastAsia" w:ascii="仿宋" w:hAnsi="仿宋" w:eastAsia="仿宋" w:cs="仿宋"/>
                <w:i w:val="0"/>
                <w:iCs w:val="0"/>
                <w:color w:val="000000"/>
                <w:kern w:val="0"/>
                <w:sz w:val="24"/>
                <w:szCs w:val="24"/>
                <w:u w:val="none"/>
                <w:lang w:val="en-US" w:eastAsia="zh-CN" w:bidi="ar"/>
              </w:rPr>
              <w:t>室外机参考尺寸 862×557×341mm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12.</w:t>
            </w:r>
            <w:r>
              <w:rPr>
                <w:rFonts w:hint="eastAsia" w:ascii="仿宋" w:hAnsi="仿宋" w:eastAsia="仿宋" w:cs="仿宋"/>
                <w:i w:val="0"/>
                <w:iCs w:val="0"/>
                <w:color w:val="000000"/>
                <w:kern w:val="0"/>
                <w:sz w:val="24"/>
                <w:szCs w:val="24"/>
                <w:u w:val="none"/>
                <w:lang w:val="en-US" w:eastAsia="zh-CN" w:bidi="ar"/>
              </w:rPr>
              <w:t>室内机噪音≤42dB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13.</w:t>
            </w:r>
            <w:r>
              <w:rPr>
                <w:rFonts w:hint="eastAsia" w:ascii="仿宋" w:hAnsi="仿宋" w:eastAsia="仿宋" w:cs="仿宋"/>
                <w:i w:val="0"/>
                <w:iCs w:val="0"/>
                <w:color w:val="000000"/>
                <w:kern w:val="0"/>
                <w:sz w:val="24"/>
                <w:szCs w:val="24"/>
                <w:u w:val="none"/>
                <w:lang w:val="en-US" w:eastAsia="zh-CN" w:bidi="ar"/>
              </w:rPr>
              <w:t>室外机噪音≤54dB</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18</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移液器</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量程：100-1000ul 5支，20-200ul 5支，1000-5000ul 3支，0.5-10ul 5支，0.1-2.5ul 2支</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19</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台上小型离心机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定时范围：1s～99m59s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最大转速：≥7000rpm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工作噪声：≤ 45 dB</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最大相对离心力≥2900xg(7000rpm)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样品处理量：6×1.5ml/2.0ml 离心管 ; 6×0.5ml 离心管；2×8×0.2mlPCR 排管 (16×0.2ml) 离心管</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摇床</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电源： 220V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功率： 35W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频率： 0～80转/分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托盘： 320×265mm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旋幅： 万向调节</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旋涡混匀仪</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电源： 220V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功率： 40W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最高转速≥2800转/min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工作方式： 连续、点触、调速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工作台： 碗型、平板型可调换</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小鼠手术板</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尺寸：22*15cm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材质：PE板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附件：带6个固定螺栓盒气体麻醉面罩</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大鼠手术板</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尺寸：33*25cm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材质：PE板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附件：带11个固定螺栓，带双层气体麻醉面罩</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鼠尾注射固定器</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1.使用赶压方式将鼠尾尾根部分血管中的血赶压到鼠尾的后半部分，使其血管充分充盈，方便针头的进入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2.使用黄光照射鼠尾，使鼠尾的血管显现出来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3.可适合150～400g的大鼠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4.10W LED 黄光灯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5.配带压块释放脚踏开关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6.电源适配器：输入AC100-220V，50Hz，输出DC12V，2A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7固定筒60*60*190mm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8.整机重量：3.5Kg</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7"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手术照明冷光源</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1.LED 光源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2.可以调节光的亮度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3.配有双光纤，光纤角度可以随意调节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4.增强型冷光源，80W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5.输入功率： ≤100VA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6.光源形式： 80W， LED 光源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7.色温： 6000K</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8.总通光量： ＞1000 1m-10%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9.安全类型： I 类BF 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10.工作环境温度： 5℃-45℃</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实验台及工作台（供应商需踏勘现场）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批</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尺寸：25000*750*850mm（根据现场实际尺寸定制）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一、实验台（全钢）技术应符合以下标准的要求：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1、理化板台面≥12.7mm厚度的耐腐蚀实芯理化板。边缘背边加工带止水槽，打磨,呈弧型，总厚度为≥25.4mm。台面保持水平，拼接台面应保持在一个平面内。同时符合如下技术参数：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（1）理化性能：通过实验室常用化学试剂耐腐蚀性测试，至少包括硫酸98%、硝酸65%、氢氧化钠(40%)等强酸强碱试剂，同时还需包括四氯化碳、碘酒、等常规化学试剂，检验结果均为合格。。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（2）耐污染检测结果达到5级标准；包括乙酸、甲酸、盐酸、氢氟酸、硝酸、硫酸、氨水、氢氧化钠、硫化钠、氧化锌、硝酸银等46种污染试剂均达到五级。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（3）抗菌性能：表面能抑制以下细菌生长：肺炎克雷伯氏菌、金黄色葡萄球菌、大肠杆菌、白色念珠菌、铜绿假单孢菌等检测结果合格。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2、实验台下柜：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主体采用厚度≥1.0mm优质冷轧钢板，表面经环氧树脂静电粉末喷涂。技术性能：钢板需经过脱脂、水洗、酸洗、水洗中和、磷化、水洗等过程或纳米陶化前处理，涂层平整光滑，不允许有喷涂层脱落、鼓泡、凹陷、压痕以及表面划伤、麻点、裂痕、崩角和刃口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2.1、柜门/抽屉面板：双层设计，中间填充隔音材料。环氧树脂喷涂优质冷轧钢板材质，喷涂前处理工艺及喷涂性能同“实验台下柜”，防化、防潮、耐高温以及耐磨。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2.2、背板：材质为厚度≥1.0mm优质涂层钢板。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2.3、拉手：采用一字型拉手。颜色由用户指定，可与门板颜色跳色。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2.4、合页：优质304不锈钢材质，防锈耐腐蚀。</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2.5、抽屉装置：采用优质的三节静音阻尼式滑轨，表面经过环氧树脂喷涂。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2.6、地脚：柜底配四个钢制可调脚，高度调节在0～15mm之间。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2.7、边台、仪器台背部为辅料夹层，中央台中部（柜体背面）为设备夹层，用于隐藏从地面预留或天花板引出服务柱到实验台面的水、电、气管路。且每个实验台后面均设有活动维修板，拆装方便。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2.8水槽后侧位置需加装挡水板，高度100-250mm,材质为实芯理化板，厚度≥8mm,外露直角需做圆弧处理。。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注：实验台（包含边台）的安装包含水、电等管路、线路的铺设以及试剂架插座、电源盒等，需各供应商按照消防、用水用电要求自行引线引管，房间内设有配电箱及上下水点位以及部分房间用电点位，用水点位不对应时，需各供应商自行勘察后根据现场实际情况自行处理，达到实验室使用要求。水电改造费用需包含在单价中，不单独增项；电源盒及插座数量根据施工情况确定，达到用户使用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电源插座:钢制电源盒，带防护盖插座，220V、10A国标五孔。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实芯理化板须提供有效的检测报告（检验项目含耐化学腐蚀性能、抗菌性能等）；实验台成品须提供有效的检测报告；以上检测报告须由国家正规检测部门出具。</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27</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工作台</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(1)参考规格：1000*600*1200mm</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台面要求:1、台面要求:抗刮痕，采用≥12.7mm厚度的耐腐蚀实芯理化板。边缘背边加工带止水延，打磨,呈弧型，总厚度为≥25.4mm。台面保持水平，拼接台面应保持在一个平面内。台面与柜体之间应连接稳固，台面不能脱落或跷起。同时符合如下技术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台面甲醛释放量（气候箱法）检测结果达到E1级标准；燃烧性能符合B1级建筑材料要求。同时满足耐龟裂，耐划痕弯曲强度，弯曲弹性模量，划痕，污斑，表面光泽，边缘缺损等物理性能检测项目合格。</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（3）柜门/抽屉面板：：采用优质 E1 级中密度纤维板，符合 GB/T11718-2009标准；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（4）贴面材料：采用优质天然胡桃木皮饰面（厚度≥0.6mm），含水率 10%±1%；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(5)、胶：采用优质环保胶、符合HJ/T220-2005 标准；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(6)、椅：高870mm*座椅宽450mm。椅垫距地高度450mm..舒适靠背，人性化靠背设计，贴合人体曲线，耐用五金加固，经久耐用，加粗加厚管材，稳固承重。透气面料，无缝焊接，防滑脚垫，圆润边角，有效防止磕碰造成不必要的伤害，高弹海绵填充坐垫，回弹性好，久坐不易变形。稳固结构框架，静音耐磨脚垫 </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28</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实验桌凳</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批</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1、桌子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(1)参考规格：1600*700*760mm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(2)基材：采用优质 E1 级中密度纤维板，符合 GB/T11718-2009标准；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(3)、贴面材料：采用优质天然胡桃木皮饰面（厚度≥0.6mm），含水率 10%±1%；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(4)、油漆：采用优质环保聚酯漆，底漆采用符合环保要求的PE 不饱和树脂，工艺采用五底三面涂装工艺；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(5)、胶：采用优质环保胶、符合HJ/T220-2005 标准；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(6)、优质五金件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2、椅子：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(1).钢材：国标优质钢管钢，壁厚≥1.5mm 表面电镀处理；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(2)扶手：优质橡胶木扶手，表面优质环保聚酯漆；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(3)泡棉：优质环保高密度发泡成型海棉；符合人体工学；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(4)皮革：采用厚度≥1.0mm 皮革</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29</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实验凳</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批</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1、椅架：≥φ25*1.9mm圆管，表面电镀处理。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2、内衬板材: E1级曲木板材，厚度≥12mm。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3、螺丝：止退螺丝。</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4、扶手：优质橡胶木，表面作喷漆处理。5、泡棉：高密度发泡成型海棉。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、椅面：采用厚度为≥1.0mm优质西皮。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、符合家具的使用安全标准。</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4"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30</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样本库专用工作站</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 xml:space="preserve">主板 Intel 600系列以上芯片组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CPU  ≥Intel Core I5 12代系列六核处理器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内存 ≥8G DDR4 3200MHz内存，提供双内存槽位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硬盘 ≥ 1TSATA   256SSD2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显卡   集成显卡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声卡 集成5.1声道声卡，具有至少5个音频接口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网卡 集成10/100/1000M以太网卡；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 xml:space="preserve">键盘、鼠标 防水抗菌键盘、抗菌鼠标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 xml:space="preserve">电源 ≤260W节能电源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10.</w:t>
            </w:r>
            <w:r>
              <w:rPr>
                <w:rFonts w:hint="eastAsia" w:ascii="仿宋" w:hAnsi="仿宋" w:eastAsia="仿宋" w:cs="仿宋"/>
                <w:i w:val="0"/>
                <w:iCs w:val="0"/>
                <w:color w:val="000000"/>
                <w:kern w:val="0"/>
                <w:sz w:val="24"/>
                <w:szCs w:val="24"/>
                <w:u w:val="none"/>
                <w:lang w:val="en-US" w:eastAsia="zh-CN" w:bidi="ar"/>
              </w:rPr>
              <w:t>机箱 ≤13.6L 机箱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11.</w:t>
            </w:r>
            <w:r>
              <w:rPr>
                <w:rFonts w:hint="eastAsia" w:ascii="仿宋" w:hAnsi="仿宋" w:eastAsia="仿宋" w:cs="仿宋"/>
                <w:i w:val="0"/>
                <w:iCs w:val="0"/>
                <w:color w:val="000000"/>
                <w:kern w:val="0"/>
                <w:sz w:val="24"/>
                <w:szCs w:val="24"/>
                <w:u w:val="none"/>
                <w:lang w:val="en-US" w:eastAsia="zh-CN" w:bidi="ar"/>
              </w:rPr>
              <w:t>显示器：27吋显示器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12.</w:t>
            </w:r>
            <w:r>
              <w:rPr>
                <w:rFonts w:hint="eastAsia" w:ascii="仿宋" w:hAnsi="仿宋" w:eastAsia="仿宋" w:cs="仿宋"/>
                <w:i w:val="0"/>
                <w:iCs w:val="0"/>
                <w:color w:val="000000"/>
                <w:kern w:val="0"/>
                <w:sz w:val="24"/>
                <w:szCs w:val="24"/>
                <w:u w:val="none"/>
                <w:lang w:val="en-US" w:eastAsia="zh-CN" w:bidi="ar"/>
              </w:rPr>
              <w:t>接口 ≥10个USB接口（至少6个USB 3.2 Gen1接口）、2个PS/2接口、1个串口，主板集成2个视频接口（其中至少1个VGA）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扩展槽 ≥1个PCI-E*16，≥2个PCI-E*1，1个PCI槽位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13.</w:t>
            </w:r>
            <w:r>
              <w:rPr>
                <w:rFonts w:hint="eastAsia" w:ascii="仿宋" w:hAnsi="仿宋" w:eastAsia="仿宋" w:cs="仿宋"/>
                <w:i w:val="0"/>
                <w:iCs w:val="0"/>
                <w:color w:val="000000"/>
                <w:kern w:val="0"/>
                <w:sz w:val="24"/>
                <w:szCs w:val="24"/>
                <w:u w:val="none"/>
                <w:lang w:val="en-US" w:eastAsia="zh-CN" w:bidi="ar"/>
              </w:rPr>
              <w:t>安全及扩展 软件方式实现网络同传和硬盘保护功能/支持智能排序功能，方便操作/支持COMS保护功能，快速恢复COMS参数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低温标签转运系统：具有条码打印功能（配置按用户要求。）</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样本库用复印打印一体机</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产品类型：黑白激光多功能一体机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涵盖功能：打印/复印/扫描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最大处理幅面：A4</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耗材类型：鼓粉一体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黑白打印速度：20ppm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打印分辨率：600×600dpi</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网络功能：支持无线/有线网络打印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双面功能：手动</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2"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样本管理系统</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1技术功能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1.1系统框架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系统架构：B/S架构，用户不必安装客户端，可以在同一网段内通过浏览器登录账户访问和操作系统。对于浏览器兼容性至少包含：chrome最新稳定版本。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系统不限制注册账户数量。可通过部门设定对样本库人员进行分级管理。同时通过权限管理在数据层隔离不同部门之间的数据。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数据库：支持MySQL数据库。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系统具备进行修改和二次开发的条件。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不限制管理设备数、不限制管理样本数、不限制用户数和客户端访问数。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依托ISO20387生物样本库质量和能力认可准则开发，符合人类遗传管理条例等要求。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1.2功能参数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1.2.1项目管理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1.项目类型，支持区分项目类别及研究方向。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2.系统支持自定义项目审批流，项目立项可由线下转为线上。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3.项目支持批量添加项目成员，方便后续项目组人员维护。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4.项目列表支持设置表头，可以根据当前账号设置表头展示字段。</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5.设计项目收集的样本类型、临床及实验室信息。项目支持添加项目字段，不同的项目可以设定不同的信息，用于区分和个性化设置。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6.项目数据公开权限，支持设置样本数据本部门人员及项目成员可见、仅项目成员可见、仅项目所属部门项目成员可见三种方式选择。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1.2.2样本源管理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1.系统支持以不同类型对样本源进行信息分类；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2.能够单个/批量创建样本源，支持样本源信息的修改、删除、查看。并结合条形码管理模块打印样本源标签，管理相关表单；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3.能够实现样本源信息扩展及自定义，可最大限度的收集并登记样本源信息，确保数据升级的扩展性及数据延续性；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可通过手工录入、批量导入方式进行相关数据的录入；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5.可以将样本源信息以excel表格的方式批量导出，导出模版可自定义。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1.2.3样本管理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1.系统支持单个/批量创建样本、以及样本信息的修改、删除、查看，并结合条形码管理模块打印样本标签；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2.系统可依据样本编码规则自动生成样本唯一编码，可根据用户实际业务需求设置多种样本编码规则和条码打印方案；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3.样本类型及其相关关联信息均可以根据用户业务需求进行自定义设置；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4.能够实现样本信息以excel表格的方式导入系统实现快速信息录入，同时系统支持将样本信息以excel表格的方式批量导出，导出模版可自定义；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5.样本管理，包含样本的修改、销毁、入库、出库、再入库、分装、提取等常规样本操作记录。系统支持衍生样本的来源回溯、关联初始样本及样本源信息；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6.对于血液、体液等液体类样本系统能够管理样本的存量，当样本分装、提取后，可计算剩余量；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7.系统可自定义样本申领、审批流程，实现样本出库可控；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8.归档后的样本需要特殊权限进行查询或恢复；销毁的样本可以进行实物的销毁。与实际的管理业务一致，满足质量管理体系的要求。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9.样本预警，系统支持设置样本保存期限预警，样本余量预警；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10.系统支持多种方案对样本进行查询筛选，如条件组合查询，批量查询，模糊查询等。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1.2.4存储设备管理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1.系统不限制容器数量的样本数量，支持多类型存储容器，立式冰箱、卧式冰箱、冷藏柜、切片柜、石蜡柜、液氮罐，且可扩展；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2.支持灵活配置容器内部结构，并可以通过图形化方式模拟显示容器分区，冻存盒、架等结构，方便出入库操作；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3.支持冻存盒内的冻存管能够有以不同图标标识不同类型的样本，用户可设置样本类型的图标；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4.支持根据盒子存储容量不同颜色突出显示，通过冻存盒颜色变化可直观反馈设备内存储空间空置率情况；</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5.系统支持批量冻存盒操作，包括冻存盒入库，出库等。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1.2.5条码及打印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1.支持常规条码打印机，可根据打印机的安装环境进行实施前设置。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2.系统支持一维码及二维码，可对样本源、样本、冻存盒、设备等编码方案自定义编码规则；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3.根据业务需求和自定义编码规则可自定义条码打印方案，支持在标签上打印样本所需关键信息元素，如样本类型，样本来源，采集日期等；各打印元素可便捷调整位置，大小，并支持旋转；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4.支持批量条码打印。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1.2.6标准化数据管理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1.系统支持多种标准化数据字典，如民族，省市，ICD-10诊断等，同时还可将用户自有数据字典录入系统，方便查询调用。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1.2.7统计查询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1.系统包含常规样本库所需的统计报表，如样本统计，出入库统计，设备空间使用率统计等；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2.系统支持各项明细查询，如出入库明细，操作明细，登录明细等，相关内容支持分类浏览。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1.2.8用户权限管理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1.系统支持对系统所有用户进行管理，包括注册，注销，修改，冻结账户等；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2.系统支持组织结构管理，可依据实际部门对样本库人员账户进行分级管理。同时通过权限管理在数据层隔离不同部门之间的信息，保障数据隐私；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3.系统可配置多个用户角色，为不同角色配置不同访问操作权限；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4.可为用户账户设置有效期限，账户到期后，不能登录系统。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1.2.9系统管理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记录账户登录、注销、样本入库、出库、分装、提取、销毁等记录、存储设备创建、修改、样本源信息更新等所有操作，并可按时间、操作人等条件检索；非管理员用户只可查询本用户日志；日志文件作为只读文件保存，不可更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1.2.10系统安全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1.系统只允许经过预先授权的用户访问登录，并且在系统运行周期内保证用户名唯一。</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2.管理员为其他用户设置唯一初始密码，当用户第一次登录时，强制更换初始密码。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3.系统划分多级权限，通过权限的分配限定数据共享及隔离。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4.系统支持手动和定期自动备份数据，当故障发生时，可确保保障数据安全。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5.支持银行级SSL加密机制；支持本地、异地本分备份，多重保障数据安全。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2售后服务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1.自项目验收后，提供1年的软件系统免费维护及软件升级服务。服务方式为电话支持或远程操作（远程操作环境需用户提供）。质保期内因人为原因或自然灾害等因素造成损坏，故障收取成本费用。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2.服务响应时间：如系统出现问题或故障，一般4小时内响应，如需现场服务，则48小时内到达，不可抗力因素除外。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3软件认证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1.软件著作权认证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2.软件产品证书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附加服务：（1）基于生物样本库建设及运营背景，通过现场辅导、线上会议等方式，量身定制中国人类遗传资源保藏申报服务。指导及协助医院建立、补充、修订必要的管理制度、技术文件、规范流程等，提升生物样本库的整体规范运营能力与水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（2）服务内容包括：现状调研与诊断、对接小组及制定计划制定、文件材料评估、专题辅导与岗前培训、申报材料编撰与辅导、管理运营辅导、复审答辩辅导等环节。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（3）项目周期：预计120个工作日内；受政策性影响或疫情等特殊因素除外。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（4）质量承诺：在项目启动前进行客户的场地、硬件和软件的调研，项目启动后按照项目计划排期严格执行，在现有场地、硬件及软件条件下辅导客户在项目周期内通过科技部资料审核。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 包含环境及设备监测系统1）支持APP（iOS、安卓）；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2）能够在手机APP端查询所辖设备的汇总信息，包含总的设备数量、报警设备数量、离线的设备数量、正常运行设备数量以及对应设备列表；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3）支持单台设备的状态查看，能够实时查询单台设备的状态信息、数据信息、运行曲线等信息。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4）支持APP报警推送，能够在手机端实时收到设备的报警内容；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5）支持报修等处理，能够在APP端提交维修信息，允许提交处理现场的照片；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6）能够在手机微信端查询所辖设备的汇总信息，包含总的设备数量、报警设备数量、离线的设备数量、正常运行设备数量以及对应设备列表；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7）支持单台设备的状态查看，能够实时查询单台设备的状态信息、数据信息、运行曲线等信息；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8）支持微信报警推送，能够在手机端实时收到设备的报警内容</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扫描枪</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把</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1、通信距离 ≥30m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2、无线频段 ：2.4～2.5GHz，兼容蓝牙 4.2，功率等级：2 类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3、接 口 ：RS232 串口、USB 键盘、USB 虚拟串口、PS/2 键盘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4、输入电压 ：直流 5±0.25 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 xml:space="preserve">、待机时间 ：≥50 小时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 xml:space="preserve">、工作时间 ：≥20 小时（每 5 秒扫描一次）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 xml:space="preserve">、分 辨 率≥1280×1024 像素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 xml:space="preserve">、视 场 角 ：HD：水平：40°，垂直：34°；XD：水平：33°，垂直：28°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、扫描角度 ：左右≥±70°，前后≥±75°，转动≥360°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、印刷对比度：最低20%反射差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 xml:space="preserve">、最小解析度 ：1D：3mil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 xml:space="preserve">、解码能力 ：1D：UPC-A，UPC-E, UPC-E1，EAN-13，EAN-8，ISBN (Bookland EAN)，ISSN，Code 39，Code 39 full ASCII，Code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32， Trioptic Code 39，Interleaved 2 of 5，Industrial 2 of 5，Matrix 2 of 5, Codabar (NW7)，Code 128，ISBT 128，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Code 93，Code 11 (USD-8)，MSI/Plessey，UK/Plessey，UCC/EAN 128， China Post，GS1 DataBar(formerly RSS)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variants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2D：QR code，MicroQR，PDF417，MicroPDF417，DataMatrix，Aztec 码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、景深：3mil code39（3字符）：5mm-65mm；4mil code128（9字符）：5mm-85mm；13mil UPC（6字符）：5mm-170mm; 20mil code39（1字符）：25mm-260mm；5mil QR（40字符）：10mm-65mm；6.7mil PDF417（20字符）：0mm-100mm; 10mil QR（20字符）：0mm-100mm;  20mil QR（20字符）：0mm-165mm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 xml:space="preserve">、温 度 ：0°C 至 50°C（工作），-40°C 至 60°C（存储）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、湿 度 ：5%至 95%（无冷凝）</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、安全法规：EMC电容兼容性：EN55032,EN55024/光照安全：EN62471:2008/光照等级：0至100000LUX/电气安全：EN60950-1/密封等级：IP52/抗震能力：可承受多次1.5米高度跌落到水泥地面的冲击</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7"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冷藏冷冻冰箱</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1、有效容积 ：有效容积＞315L；冷藏室容积＞215L，冷冻室容积≥100L；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2、整体结构：立式双门设计，都为发泡门设计；保温材料采用LBA硬质发泡，无CFC聚氨酯发泡，保温性能优；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3材质：箱体采用喷涂钢板材质，内胆采用钣金内胆；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4温度控制:微电脑控制,触摸按键，大屏幕LED显示，可同时显示冷藏、冷冻室温度。冷藏室控制显示精度0.1 ℃，冷冻室控制、显示精度1 ℃，冷藏室温度范围2～8℃，冷冻室温度范围-10～-30 ℃，用户可自行调节温度；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5、核心组件：采用品牌压缩机，品牌风机，碳氢制冷剂，并能提供铭牌证明；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、门体结构：采用发泡门设计，满足避光保存要求，保温性能优；门体采用低于90°自关，90°以上悬停设计，防止用户忘记关门、便于用户取拿存储物；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、双压缩机、双制冷系统，上冷藏室和下冷冻室可独立控制运行，其中一个出现故障不影响另外一个正常运行使用；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、温度均匀性：采用高性能保温材料，风冷系统，保证箱体温度冷藏室均匀性≤2℃，波动性≤3℃，并出具检测中心检测报告；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安全系统：具有蜂鸣报警和灯光闪烁两种报警方式（报警时，报警灯光及代码同时闪烁），标配远程报警接口；多重故障报警类型，可实现高温报警、低温报警、传感器故障报警、断电报警、开门报警、环温高报警、电池电量低报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、温度监控：产品配有两个测试孔；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、箱内配置：冷藏室配有3个蘸塑搁板；冷冻室配有2个蘸塑搁架、2个抽屉；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、柜内照明：内设LED照明灯；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、固定移动：产品配有4个脚轮和2个平衡底脚；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、安全保障：冷藏室、冷冻室各配置一个锁扣，每个锁扣均可外挂锁，冷藏室配置1个暗锁，满足多人管理的安全要求；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、运行安全：当冷藏或者冷冻室传感器损坏后，自动进入安全运行模式并报警，压缩机按照周期启停运行；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、停电报警：内置大容量电池，满足产品断电后继续显示箱内的实时温度，持续时间至少24小时；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17</w:t>
            </w:r>
            <w:r>
              <w:rPr>
                <w:rFonts w:hint="eastAsia" w:ascii="仿宋" w:hAnsi="仿宋" w:eastAsia="仿宋" w:cs="仿宋"/>
                <w:i w:val="0"/>
                <w:iCs w:val="0"/>
                <w:color w:val="000000"/>
                <w:kern w:val="0"/>
                <w:sz w:val="24"/>
                <w:szCs w:val="24"/>
                <w:u w:val="none"/>
                <w:lang w:val="en-US" w:eastAsia="zh-CN" w:bidi="ar"/>
              </w:rPr>
              <w:t>、冷藏室配置自动化霜功能，不必人工除霜；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18</w:t>
            </w:r>
            <w:r>
              <w:rPr>
                <w:rFonts w:hint="eastAsia" w:ascii="仿宋" w:hAnsi="仿宋" w:eastAsia="仿宋" w:cs="仿宋"/>
                <w:i w:val="0"/>
                <w:iCs w:val="0"/>
                <w:color w:val="000000"/>
                <w:kern w:val="0"/>
                <w:sz w:val="24"/>
                <w:szCs w:val="24"/>
                <w:u w:val="none"/>
                <w:lang w:val="en-US" w:eastAsia="zh-CN" w:bidi="ar"/>
              </w:rPr>
              <w:t>，当门打开，冷藏内灯亮，内风机停，保障箱内温度稳定，实现节能降耗。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19</w:t>
            </w:r>
            <w:r>
              <w:rPr>
                <w:rFonts w:hint="eastAsia" w:ascii="仿宋" w:hAnsi="仿宋" w:eastAsia="仿宋" w:cs="仿宋"/>
                <w:i w:val="0"/>
                <w:iCs w:val="0"/>
                <w:color w:val="000000"/>
                <w:kern w:val="0"/>
                <w:sz w:val="24"/>
                <w:szCs w:val="24"/>
                <w:u w:val="none"/>
                <w:lang w:val="en-US" w:eastAsia="zh-CN" w:bidi="ar"/>
              </w:rPr>
              <w:t>，换热设计：冷冻室为隐藏蒸发器设计，箱内空间利用率高，冷冻室双重密封，结霜少；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、物联通讯：产品标配Wifi接口，可改制485接口，用户可通过接口连网，冰箱运行温度数据及报警信息可传至云平台通过手机端提醒.</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样本低温转运箱</w:t>
            </w:r>
          </w:p>
        </w:tc>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652" w:type="pct"/>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适用范围：适用于样本、标本、试剂、药品、疫苗、血液及血制品等生物制品的冷链转运。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1、制冷原理：被动制冷（相变材料PCM）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2、保温原理：PU无氟聚氨酯一体发泡，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3、外箱材料：聚丙烯（PP）内胆材料：聚丙烯（PP）</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4、产品外部</w:t>
            </w:r>
            <w:r>
              <w:rPr>
                <w:rFonts w:hint="eastAsia" w:ascii="仿宋" w:hAnsi="仿宋" w:cs="仿宋"/>
                <w:i w:val="0"/>
                <w:iCs w:val="0"/>
                <w:color w:val="000000"/>
                <w:kern w:val="0"/>
                <w:sz w:val="24"/>
                <w:szCs w:val="24"/>
                <w:u w:val="none"/>
                <w:lang w:val="en-US" w:eastAsia="zh-CN" w:bidi="ar"/>
              </w:rPr>
              <w:t>参考</w:t>
            </w:r>
            <w:r>
              <w:rPr>
                <w:rFonts w:hint="eastAsia" w:ascii="仿宋" w:hAnsi="仿宋" w:eastAsia="仿宋" w:cs="仿宋"/>
                <w:i w:val="0"/>
                <w:iCs w:val="0"/>
                <w:color w:val="000000"/>
                <w:kern w:val="0"/>
                <w:sz w:val="24"/>
                <w:szCs w:val="24"/>
                <w:u w:val="none"/>
                <w:lang w:val="en-US" w:eastAsia="zh-CN" w:bidi="ar"/>
              </w:rPr>
              <w:t>尺寸（长*宽*高）：≥570*30</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*36</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mm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5、产品内部</w:t>
            </w:r>
            <w:r>
              <w:rPr>
                <w:rFonts w:hint="eastAsia" w:ascii="仿宋" w:hAnsi="仿宋" w:cs="仿宋"/>
                <w:i w:val="0"/>
                <w:iCs w:val="0"/>
                <w:color w:val="000000"/>
                <w:kern w:val="0"/>
                <w:sz w:val="24"/>
                <w:szCs w:val="24"/>
                <w:u w:val="none"/>
                <w:lang w:val="en-US" w:eastAsia="zh-CN" w:bidi="ar"/>
              </w:rPr>
              <w:t>参考</w:t>
            </w:r>
            <w:r>
              <w:rPr>
                <w:rFonts w:hint="eastAsia" w:ascii="仿宋" w:hAnsi="仿宋" w:eastAsia="仿宋" w:cs="仿宋"/>
                <w:i w:val="0"/>
                <w:iCs w:val="0"/>
                <w:color w:val="000000"/>
                <w:kern w:val="0"/>
                <w:sz w:val="24"/>
                <w:szCs w:val="24"/>
                <w:u w:val="none"/>
                <w:lang w:val="en-US" w:eastAsia="zh-CN" w:bidi="ar"/>
              </w:rPr>
              <w:t>尺寸：≥47</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*24</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*270mm，双腔结构支持分区；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6、温度范围：0至10℃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7、保温时间</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24小时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8、箱内填充无氟聚氨酯发泡保温材料；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9、专用冰盒，固定卡位，实现存放分区；箱体设计顶置提手，可背可提 配有专业密封圈设计，具有良好的隔热冷藏效果，长效保温；可选配挂锁。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10、产品配置：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箱体：1 台  温度计：1 个    固定卡位冰排：≥4* 600ml   </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小型液氮运输罐</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1、容积:≥6L</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2、口径：50±2mm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、提筒直径：38±1mm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、提筒数量：≥6个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、空重≤4.8KG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、静态液氮日蒸发量≤0.12L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、静态液氮保存期≥52天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、材质及表面内外胆均为铝合金材质；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、标配锁盖，方便加锁保护样本安全；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、配置人造革保护皮套；</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0" w:hRule="atLeast"/>
          <w:jc w:val="center"/>
        </w:trPr>
        <w:tc>
          <w:tcPr>
            <w:tcW w:w="248" w:type="pct"/>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37</w:t>
            </w:r>
          </w:p>
        </w:tc>
        <w:tc>
          <w:tcPr>
            <w:tcW w:w="298" w:type="pct"/>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超低温冰箱</w:t>
            </w:r>
            <w:r>
              <w:rPr>
                <w:rFonts w:hint="eastAsia" w:ascii="仿宋" w:hAnsi="仿宋" w:eastAsia="仿宋" w:cs="仿宋"/>
                <w:b/>
                <w:bCs/>
                <w:i w:val="0"/>
                <w:iCs w:val="0"/>
                <w:color w:val="000000"/>
                <w:kern w:val="0"/>
                <w:sz w:val="24"/>
                <w:szCs w:val="24"/>
                <w:u w:val="none"/>
                <w:lang w:val="en-US" w:eastAsia="zh-CN" w:bidi="ar"/>
              </w:rPr>
              <w:t>（核心产品）</w:t>
            </w:r>
          </w:p>
        </w:tc>
        <w:tc>
          <w:tcPr>
            <w:tcW w:w="248" w:type="pct"/>
            <w:vMerge w:val="restar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vMerge w:val="restar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652" w:type="pct"/>
            <w:vMerge w:val="restar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1、箱内温度-40℃ ～-86℃可调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2、微电脑控制，10吋高性能LCD液晶触摸屏，直观显示箱内温度、环境温度、输入电压和温度曲线等数据，显示精度0.1℃，可连接wifi实现网络功能；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3、具有运行指示灯；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4、具有多种故障报警，高、低温报警、传感器报警、冷凝器脏报警、环温超标报警、断电报警、门开报警、电池电量低报警；报警方式：声音蜂鸣报警、灯光闪烁报警；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5、多重保护功能，开机延时保护、压机高温保护、压力过高保护、显示面板密码保护、断电记忆数据保护；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6、采用HC环保制冷剂；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7、采用双级复叠制冷系统，高温级压机和低温级压机配合制冷；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8、根据低温保存箱国家标准GB/T 20154要求，低温保存箱铭牌或标签上要标注制冷剂的详细名称及装入量；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9、标配两块12V锂电池，保障冰箱断电后，温度显示及冰箱报警功能运行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、2级变频压缩机，稳定运行功率≤650W;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、25℃环温时，耗电量应≤9Kw.h/24h；提供实验室符合CNAS、ILAC资格的第三方机构报告；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、箱内温度均匀性要求，每层5个测试点（四角及中心），整机多于20点测试，最高温度与最低温度的差小于6度；提供国家级的第三方机构报告；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、一体式手把门锁设计，单手实现开关门。可同时使用暗锁（不少于四把钥匙）及双挂锁；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、4个内门并带密封条设计，外门4层密封，整机共计5层密封；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、使用真空隔热材料VIP+PU整体发泡，VIP厚度≥25mm；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、内胆为电锌板喷粉；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、节能风机，可根据冷凝器传感器温度自动控制风机，智能变速运行。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、噪音≤45db；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19</w:t>
            </w:r>
            <w:r>
              <w:rPr>
                <w:rFonts w:hint="eastAsia" w:ascii="仿宋" w:hAnsi="仿宋" w:eastAsia="仿宋" w:cs="仿宋"/>
                <w:i w:val="0"/>
                <w:iCs w:val="0"/>
                <w:color w:val="000000"/>
                <w:kern w:val="0"/>
                <w:sz w:val="24"/>
                <w:szCs w:val="24"/>
                <w:u w:val="none"/>
                <w:lang w:val="en-US" w:eastAsia="zh-CN" w:bidi="ar"/>
              </w:rPr>
              <w:t>、具有自动可加热平衡孔模块，可满足短时间内连续开门。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、具三个测试孔，方便实验使用和监控箱内温度。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、具有内置5V冷链供电系统，确保用电安全，减少外部布线，降低故障风险。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、电脑版配置大容量存储空间，实时保存箱内设定温度、实际温度、高、低温报警温度、输入电压、环温等数据，且可通过USB数据接口端口导出全部数据，格式excel和PDF可选，实现数据的可追溯性；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、配置RS485数据接口，可同计算机网线连接，实现数据通讯；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、产品配置PT100高精度传感器；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、触摸屏具有留言/记事本功能；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、具有数据上传/下载功能，可以通过USB接口和网络上传和下载箱内设置、温度、报警记录以及事件记录等；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、具有参数自动配置功能，可通过USB接口或网络上传和下载配置文件，将一台冰箱的设置参数和数据等信息复制到其它冰箱；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、具有事件记录功能，产品能够记录开门事件、密码修改、设置修改、账户登录等信息，且所有记录信息能够下载到电脑上，实现数据分析存档；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29</w:t>
            </w:r>
            <w:r>
              <w:rPr>
                <w:rFonts w:hint="eastAsia" w:ascii="仿宋" w:hAnsi="仿宋" w:eastAsia="仿宋" w:cs="仿宋"/>
                <w:i w:val="0"/>
                <w:iCs w:val="0"/>
                <w:color w:val="000000"/>
                <w:kern w:val="0"/>
                <w:sz w:val="24"/>
                <w:szCs w:val="24"/>
                <w:u w:val="none"/>
                <w:lang w:val="en-US" w:eastAsia="zh-CN" w:bidi="ar"/>
              </w:rPr>
              <w:t>、标配文件夹和存笔槽，方便存放记录文件以及马克笔。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、标配物联，能够在手机app上实时的查看箱内温度、设定温度、高低温报警温度、各种报警记录、以及开关门等事件记录。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、标配单机版样本库管理软件，方便用户实现冰箱空间的简单管理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、冰箱内有效容积＞800L，整机装箱量（2ml冻存管容量）60000个样本；</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248" w:type="pct"/>
            <w:vMerge w:val="continue"/>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仿宋" w:hAnsi="仿宋" w:eastAsia="仿宋" w:cs="仿宋"/>
                <w:i w:val="0"/>
                <w:iCs w:val="0"/>
                <w:color w:val="000000"/>
                <w:sz w:val="24"/>
                <w:szCs w:val="24"/>
                <w:u w:val="none"/>
              </w:rPr>
            </w:pPr>
          </w:p>
        </w:tc>
        <w:tc>
          <w:tcPr>
            <w:tcW w:w="298" w:type="pct"/>
            <w:vMerge w:val="continue"/>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仿宋" w:hAnsi="仿宋" w:eastAsia="仿宋" w:cs="仿宋"/>
                <w:i w:val="0"/>
                <w:iCs w:val="0"/>
                <w:color w:val="000000"/>
                <w:sz w:val="24"/>
                <w:szCs w:val="24"/>
                <w:u w:val="none"/>
              </w:rPr>
            </w:pPr>
          </w:p>
        </w:tc>
        <w:tc>
          <w:tcPr>
            <w:tcW w:w="248" w:type="pct"/>
            <w:vMerge w:val="continue"/>
            <w:noWrap/>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仿宋" w:hAnsi="仿宋" w:eastAsia="仿宋" w:cs="仿宋"/>
                <w:i w:val="0"/>
                <w:iCs w:val="0"/>
                <w:color w:val="000000"/>
                <w:sz w:val="24"/>
                <w:szCs w:val="24"/>
                <w:u w:val="none"/>
              </w:rPr>
            </w:pPr>
          </w:p>
        </w:tc>
        <w:tc>
          <w:tcPr>
            <w:tcW w:w="286" w:type="pct"/>
            <w:vMerge w:val="continue"/>
            <w:noWrap/>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仿宋" w:hAnsi="仿宋" w:eastAsia="仿宋" w:cs="仿宋"/>
                <w:i w:val="0"/>
                <w:iCs w:val="0"/>
                <w:color w:val="000000"/>
                <w:sz w:val="24"/>
                <w:szCs w:val="24"/>
                <w:u w:val="none"/>
              </w:rPr>
            </w:pPr>
          </w:p>
        </w:tc>
        <w:tc>
          <w:tcPr>
            <w:tcW w:w="3652" w:type="pct"/>
            <w:vMerge w:val="continue"/>
            <w:noWrap w:val="0"/>
            <w:vAlign w:val="top"/>
          </w:tcPr>
          <w:p>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仿宋" w:hAnsi="仿宋" w:eastAsia="仿宋" w:cs="仿宋"/>
                <w:i w:val="0"/>
                <w:iCs w:val="0"/>
                <w:color w:val="000000"/>
                <w:sz w:val="24"/>
                <w:szCs w:val="24"/>
                <w:u w:val="none"/>
              </w:rPr>
            </w:pPr>
          </w:p>
        </w:tc>
        <w:tc>
          <w:tcPr>
            <w:tcW w:w="265" w:type="pct"/>
            <w:noWrap/>
            <w:vAlign w:val="center"/>
          </w:tcPr>
          <w:p>
            <w:pPr>
              <w:keepNext w:val="0"/>
              <w:keepLines w:val="0"/>
              <w:pageBreakBefore w:val="0"/>
              <w:widowControl/>
              <w:kinsoku/>
              <w:wordWrap/>
              <w:overflowPunct/>
              <w:topLinePunct w:val="0"/>
              <w:autoSpaceDE/>
              <w:autoSpaceDN/>
              <w:bidi w:val="0"/>
              <w:adjustRightInd/>
              <w:snapToGrid/>
              <w:spacing w:line="360" w:lineRule="auto"/>
              <w:ind w:firstLine="0" w:firstLineChars="0"/>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38</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冻存架</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1、不锈钢制作；钢板厚度0.6～1.0mm组合；抽屉设计；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2、产品尺寸：≥2英寸不锈钢抽屉式冻存架，高≥5层，每层≥5个冻存盒；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3、拉手设计，双层折弯工艺，无结冰及划伤风险；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4、侧插卡槽设计，方便插取卡片；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5、框架结构双角度折弯加固，承重更大更稳定</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39</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不锈钢液氮罐</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1、最大可贮存样品（2ml冻存管）≥42000个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2、冷冻架数（100格/盒）≥32个，冷冻架数（25格/盒）≥4个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3、每架盒数：13个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4、每盒冻存管数（100格/盒）≥100 ，每盒冻存管数（25格/盒）≥25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5、有效容积：890±20L；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6、口径：465±5mm；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7、高度：1499±20mm；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8、储存方式：气相和液相两用；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9、静态液氮日蒸发率≤0.85%；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10、样本贮存空间温度均可低于-180℃。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11、托盘下液氮容积：135±5L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12、材质及结构：不锈钢罐体；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13、智能化控制系统：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13.1 ≥10吋液晶触摸屏，实时显示温度、液位、时间等运行状态，具备一键除雾功能；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13.2 多种报警功能：高温报警、超高液位报警、超低液位报警、远程报警、传感器故障报警、低液氮供应报警、开盖报警等报警信号；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13.3具有声光报警、APP报警、邮件报警等报警方式；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13.4温度传感器：Pt100，测量范围：-200℃～200℃；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13.5液位传感器：电容传感器，测量精度：1mm；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13.6液位传感器测量范围：罐体底部到顶部，测量误差±10mm；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13.7液晶触摸屏可以显示自增压补给罐液氮量；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13.8液晶触摸屏可以直接登陆进入样本管理系统，便于样本的查询与管理；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14、采用手自一体进液系统，补液管连接同一个进液接口，可以实现手动加注液氮和自动加注液氮。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15、配置门磁开关，具备开盖超时报警功能，关盖自动快速降温功能。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16、液位、温度数据以及报警信息都可以直接接入大数据平台进行显示、查看、保存等。</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液氮补给罐1个：</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1、有效容积:L≥300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2、口径： 40±1mm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3、外径：857±2mm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4、高度：1459±4mm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5、空重：≥200 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6、静态液氮日蒸发量：L/d≤3.3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7、标准工作压力≥0.05MPa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8、最高工作压力≤0.09MPa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9、一次安全阀开启压力≥0.099MPa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10、二次安全阀开启压力≥0.15MPa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11、压力表指示范围：0～0.25MPa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12、标配数显液位计，带液位数据远程传输功能。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13、新增稳压阀，能长期稳定罐体内压力稳定。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、材质及结构：不锈钢罐体；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、自带脚轮，移动方便；脚轮自带刹车，安全可靠。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、证书：提供该型号或同系列型号国家低温容器质量监督检验中心《检验报告》。</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氧气监控仪</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1）单台采集：1路氧气传感器，1路温湿度探头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2）测温范围：氧气0～30%；温度 -40℃～+90℃，湿度 0%RH～99%RH；氧气测量精度≤±2%FS；测温精度≤±0.5℃；测湿精度≤±5%RH分辨率： 氧气 0.1%； 0.1℃，1%RH</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3）高清段码屏显示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4）具有声光报警，可实现温度超限报警、传感器故障报警、断电报警、电池电量低报警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5）板载存储芯片可存储≥20000条数据，可实现断点续传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6）带USB接口，可将设备与电脑连接直接读取存储在设备内的数据    </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4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298"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温度采集记录器</w:t>
            </w:r>
          </w:p>
        </w:tc>
        <w:tc>
          <w:tcPr>
            <w:tcW w:w="248"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286"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652" w:type="pct"/>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1）温湿度传感器：温度-40℃～+85℃；精度：±0.5℃。湿度0%～100%；精度±5%；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2）可提供具备CNAS认证的第三方机构出具的计量报告；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3）4G通信，数据直接发送到互联网；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4）高清段码屏显示；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5）板载存储芯片可存储≥4000条数据，可实现断点续传；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6）具有声光报警，可实现温度超限报警、传感器故障报警、断电报警、电池电量低报警；</w:t>
            </w:r>
          </w:p>
        </w:tc>
        <w:tc>
          <w:tcPr>
            <w:tcW w:w="265" w:type="pct"/>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bl>
    <w:p>
      <w:pPr>
        <w:rPr>
          <w:rFonts w:hint="eastAsia" w:ascii="仿宋" w:hAnsi="仿宋" w:eastAsia="仿宋" w:cs="仿宋"/>
          <w:lang w:val="en-US" w:eastAsia="zh-CN"/>
        </w:rPr>
      </w:pPr>
    </w:p>
    <w:p>
      <w:pPr>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br w:type="page"/>
      </w:r>
      <w:r>
        <w:rPr>
          <w:rFonts w:hint="eastAsia" w:ascii="仿宋" w:hAnsi="仿宋" w:eastAsia="仿宋" w:cs="仿宋"/>
          <w:b/>
          <w:bCs/>
          <w:sz w:val="24"/>
          <w:szCs w:val="32"/>
          <w:lang w:val="en-US" w:eastAsia="zh-CN"/>
        </w:rPr>
        <w:t xml:space="preserve">B包 </w:t>
      </w:r>
      <w:r>
        <w:rPr>
          <w:rFonts w:hint="eastAsia" w:ascii="仿宋" w:hAnsi="仿宋" w:eastAsia="仿宋" w:cs="仿宋"/>
          <w:b/>
          <w:bCs/>
          <w:sz w:val="24"/>
          <w:szCs w:val="32"/>
          <w:lang w:eastAsia="zh-CN"/>
        </w:rPr>
        <w:t>预算：</w:t>
      </w:r>
      <w:r>
        <w:rPr>
          <w:rFonts w:hint="eastAsia" w:ascii="仿宋" w:hAnsi="仿宋" w:eastAsia="仿宋" w:cs="仿宋"/>
          <w:b/>
          <w:bCs/>
          <w:sz w:val="24"/>
          <w:szCs w:val="32"/>
          <w:lang w:val="en-US" w:eastAsia="zh-CN"/>
        </w:rPr>
        <w:t xml:space="preserve">48.8万元  可采进口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196"/>
        <w:gridCol w:w="489"/>
        <w:gridCol w:w="489"/>
        <w:gridCol w:w="6014"/>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多功能全波长微孔检测仪</w:t>
            </w:r>
            <w:r>
              <w:rPr>
                <w:rFonts w:hint="eastAsia" w:ascii="仿宋" w:hAnsi="仿宋" w:eastAsia="仿宋" w:cs="仿宋"/>
                <w:b/>
                <w:bCs/>
                <w:i w:val="0"/>
                <w:iCs w:val="0"/>
                <w:color w:val="000000"/>
                <w:kern w:val="0"/>
                <w:sz w:val="24"/>
                <w:szCs w:val="24"/>
                <w:u w:val="none"/>
                <w:lang w:val="en-US" w:eastAsia="zh-CN" w:bidi="ar"/>
              </w:rPr>
              <w:t>（核心产品）</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一、性能与技术参数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1.通用参数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1)检测模块：采用4光栅设计，包括荧光强度(包括荧光共振能量转移)，时间分辨荧光，发光，紫外-可见吸收光四种检测模块。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2)检测方法：终点法，动力学，光谱扫描，孔域扫描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3)孔板类型：1～384孔板；兼容超微量多体积检测板。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4)温度控制：室温 +4℃～ 45℃，±0.2℃@37℃，可进行预热操作。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5)梯度温控：可进行梯度温控，防止凝集。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6)震荡：线性、轨道、双轨道振荡，振荡速度和振荡时间数字可调，并可配合动力学检测模式，进行长达7天持续振荡检测。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7)自动化兼容：可兼容自动化仪器，进行高通量微孔板处理工作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8)探头高度调整：探头高度可调整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9)孔域扫描：高精度孔域扫描，最多可选99×99点矩阵扫描，并可根据扫描结果给出模拟热感图。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10)检测速度：96 孔：≤11 秒；384 孔：≤22 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2.荧光强度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1)光源：高能量氙闪灯（荧光强度检测，时间分辨荧光，光谱扫描），光源能量可根据样品信号强度进行调整，有低、高两种能量强度可选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2)波长范围：250～700nm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3)波长选择：四光栅单色器 (顶/底部);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4)带宽：激发16nm，发射16nm；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5)检测灵敏度： 顶部≤0.25 pM 荧光素 ( 0.025 fmol/孔 384孔板 )；底部≤4 pM 荧光素 ( 0.4 fmol/孔 384孔板 )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6)荧光光谱扫描：可进行激发光及发射光扫描，1nm步进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7)动态范围： ≥ 7个数量级，具有动态扩展功能，动态扩展检测范围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3.发光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1)波长范围：300～700 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2)动态范围： ≥ 7个数量级，具有动态扩展功能，动态扩展检测范围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3)灵敏度(ATP)： 10 amol /孔 ATP</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4)发光扫描：可在300～700nm范围内进行发光扫描,1nm步进，绘制发光扫描图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4.吸收光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1)光源：高能量氙闪灯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2)波长范围：230～999 nm, 1 nm 步进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3)带宽：4nm (230～285nm), 8nm (&gt;285nm)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4)测量范围：0～4.0 OD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5)OD分辨率： 0.0001 OD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6)光路径校正：具备光路径长度校正功能，可将微孔板光路径长度转化为标准的1cm路径长度，校正误差，无须标准曲线即可准确定量。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5.时间分辨荧光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1)光源：高能氙闪灯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2)波长范围：250～700 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3)波长选择：双光栅单色器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4)灵敏度：Eu ≤1.2 pM  ( 120 amol/孔384孔板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1)软件可选择安装中文或英文。对仪器进行控制并可同时完成数据分析及报告生成。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2)模块化功能操作：可任意调整程序编辑步骤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3)内置模板文件：方便客户参考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4)数据运算及编辑：可对原始数据进行多重运算，生成标准曲线和样品检测数据。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5)自动休眠模式：具有自动休眠模式，在仪器停止运行时进入休眠状态，并可以随时激活，可节省仪器用电量。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6)跳跃加样及检测：可对孔板内任意孔实现跳跃加样及检测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二、配置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1.主机   1台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2.内置四光栅检测光路 1套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3.全波长吸收光检测模块、荧光顶读模块、荧光底读模块、发光检测模块、时间分辨荧光各一套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4.内置梯度防凝集温度控制模块 1套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5.内置震荡器：线性、轨道、双轨道震荡模式 1套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数据采集及分析软件 1套</w:t>
            </w:r>
          </w:p>
        </w:tc>
        <w:tc>
          <w:tcPr>
            <w:tcW w:w="0" w:type="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高速冷冻离心机</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1、最大相对离心力（rcf）： 30,000×g最高转速≥17,500 rpm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2、转速/离心力： 100 ‐ 5,000 rpm，10 rpm 递增，5,000-17,5000 rpm, 100 rpm递增 1 x g；10 ‐ 3,000 x g, 10 x g 递增；3,000 - 30,130 x g，100 x g递增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3、离心时间：30 s ‐ 10 min，30 s 递增；10 min ‐ 9 h 59 min，1 min 递增；连续离心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4、最大转子容量 48 × 1.5/2.0 mL 离心管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5、噪音水平≤54 dB(A)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6、从零加速至最高转速的时间≤14 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7、从最高转速降速至零的时间≤15 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8、12 款不同转子可选择，可离心0.2 mL 至50 mL 的所有离心管、微孔板和PCR 板等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9</w:t>
            </w:r>
            <w:r>
              <w:rPr>
                <w:rFonts w:hint="eastAsia" w:ascii="仿宋" w:hAnsi="仿宋" w:eastAsia="仿宋" w:cs="仿宋"/>
                <w:i w:val="0"/>
                <w:iCs w:val="0"/>
                <w:color w:val="000000"/>
                <w:kern w:val="0"/>
                <w:sz w:val="24"/>
                <w:szCs w:val="24"/>
                <w:u w:val="none"/>
                <w:lang w:val="en-US" w:eastAsia="zh-CN" w:bidi="ar"/>
              </w:rPr>
              <w:t>、铝合金材质转子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、具有快速锁定转子盖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、具备软刹车功能，防止样品重悬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、自动识别≥12 款不同转子，并进行限速控制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、自动转子失衡识别，离心更安全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、可存储≥50 个常用程序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5</w:t>
            </w:r>
            <w:r>
              <w:rPr>
                <w:rFonts w:hint="eastAsia" w:ascii="仿宋" w:hAnsi="仿宋" w:eastAsia="仿宋" w:cs="仿宋"/>
                <w:i w:val="0"/>
                <w:iCs w:val="0"/>
                <w:color w:val="000000"/>
                <w:kern w:val="0"/>
                <w:sz w:val="24"/>
                <w:szCs w:val="24"/>
                <w:u w:val="none"/>
                <w:lang w:val="en-US" w:eastAsia="zh-CN" w:bidi="ar"/>
              </w:rPr>
              <w:t>、≥5 个快捷程序按键，快速运行常用程序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6</w:t>
            </w:r>
            <w:r>
              <w:rPr>
                <w:rFonts w:hint="eastAsia" w:ascii="仿宋" w:hAnsi="仿宋" w:eastAsia="仿宋" w:cs="仿宋"/>
                <w:i w:val="0"/>
                <w:iCs w:val="0"/>
                <w:color w:val="000000"/>
                <w:kern w:val="0"/>
                <w:sz w:val="24"/>
                <w:szCs w:val="24"/>
                <w:u w:val="none"/>
                <w:lang w:val="en-US" w:eastAsia="zh-CN" w:bidi="ar"/>
              </w:rPr>
              <w:t>、瞬时离心功能，按住即可离心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7</w:t>
            </w:r>
            <w:r>
              <w:rPr>
                <w:rFonts w:hint="eastAsia" w:ascii="仿宋" w:hAnsi="仿宋" w:eastAsia="仿宋" w:cs="仿宋"/>
                <w:i w:val="0"/>
                <w:iCs w:val="0"/>
                <w:color w:val="000000"/>
                <w:kern w:val="0"/>
                <w:sz w:val="24"/>
                <w:szCs w:val="24"/>
                <w:u w:val="none"/>
                <w:lang w:val="en-US" w:eastAsia="zh-CN" w:bidi="ar"/>
              </w:rPr>
              <w:t>、定时计时功能，达到预定转速后再倒计时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8</w:t>
            </w:r>
            <w:r>
              <w:rPr>
                <w:rFonts w:hint="eastAsia" w:ascii="仿宋" w:hAnsi="仿宋" w:eastAsia="仿宋" w:cs="仿宋"/>
                <w:i w:val="0"/>
                <w:iCs w:val="0"/>
                <w:color w:val="000000"/>
                <w:kern w:val="0"/>
                <w:sz w:val="24"/>
                <w:szCs w:val="24"/>
                <w:u w:val="none"/>
                <w:lang w:val="en-US" w:eastAsia="zh-CN" w:bidi="ar"/>
              </w:rPr>
              <w:t>、具有气密性转子盖，可高温高压灭菌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19</w:t>
            </w:r>
            <w:r>
              <w:rPr>
                <w:rFonts w:hint="eastAsia" w:ascii="仿宋" w:hAnsi="仿宋" w:eastAsia="仿宋" w:cs="仿宋"/>
                <w:i w:val="0"/>
                <w:iCs w:val="0"/>
                <w:color w:val="000000"/>
                <w:kern w:val="0"/>
                <w:sz w:val="24"/>
                <w:szCs w:val="24"/>
                <w:u w:val="none"/>
                <w:lang w:val="en-US" w:eastAsia="zh-CN" w:bidi="ar"/>
              </w:rPr>
              <w:t>、控温范围：-11 °C ～40 °C</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0</w:t>
            </w:r>
            <w:r>
              <w:rPr>
                <w:rFonts w:hint="eastAsia" w:ascii="仿宋" w:hAnsi="仿宋" w:eastAsia="仿宋" w:cs="仿宋"/>
                <w:i w:val="0"/>
                <w:iCs w:val="0"/>
                <w:color w:val="000000"/>
                <w:kern w:val="0"/>
                <w:sz w:val="24"/>
                <w:szCs w:val="24"/>
                <w:u w:val="none"/>
                <w:lang w:val="en-US" w:eastAsia="zh-CN" w:bidi="ar"/>
              </w:rPr>
              <w:t>、快速制冷编程功能，可以预先设定制冷的时间和日期，在预定时间进行快速制冷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1</w:t>
            </w:r>
            <w:r>
              <w:rPr>
                <w:rFonts w:hint="eastAsia" w:ascii="仿宋" w:hAnsi="仿宋" w:eastAsia="仿宋" w:cs="仿宋"/>
                <w:i w:val="0"/>
                <w:iCs w:val="0"/>
                <w:color w:val="000000"/>
                <w:kern w:val="0"/>
                <w:sz w:val="24"/>
                <w:szCs w:val="24"/>
                <w:u w:val="none"/>
                <w:lang w:val="en-US" w:eastAsia="zh-CN" w:bidi="ar"/>
              </w:rPr>
              <w:t>、所有转子在最高转速时，均可维持在4 °C</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2</w:t>
            </w:r>
            <w:r>
              <w:rPr>
                <w:rFonts w:hint="eastAsia" w:ascii="仿宋" w:hAnsi="仿宋" w:eastAsia="仿宋" w:cs="仿宋"/>
                <w:i w:val="0"/>
                <w:iCs w:val="0"/>
                <w:color w:val="000000"/>
                <w:kern w:val="0"/>
                <w:sz w:val="24"/>
                <w:szCs w:val="24"/>
                <w:u w:val="none"/>
                <w:lang w:val="en-US" w:eastAsia="zh-CN" w:bidi="ar"/>
              </w:rPr>
              <w:t>、具有自动待机功能，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3</w:t>
            </w:r>
            <w:r>
              <w:rPr>
                <w:rFonts w:hint="eastAsia" w:ascii="仿宋" w:hAnsi="仿宋" w:eastAsia="仿宋" w:cs="仿宋"/>
                <w:i w:val="0"/>
                <w:iCs w:val="0"/>
                <w:color w:val="000000"/>
                <w:kern w:val="0"/>
                <w:sz w:val="24"/>
                <w:szCs w:val="24"/>
                <w:u w:val="none"/>
                <w:lang w:val="en-US" w:eastAsia="zh-CN" w:bidi="ar"/>
              </w:rPr>
              <w:t>、内置冷凝水槽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w:t>
            </w:r>
            <w:r>
              <w:rPr>
                <w:rFonts w:hint="eastAsia" w:ascii="仿宋" w:hAnsi="仿宋" w:cs="仿宋"/>
                <w:i w:val="0"/>
                <w:iCs w:val="0"/>
                <w:color w:val="000000"/>
                <w:kern w:val="0"/>
                <w:sz w:val="24"/>
                <w:szCs w:val="24"/>
                <w:u w:val="none"/>
                <w:lang w:val="en-US" w:eastAsia="zh-CN" w:bidi="ar"/>
              </w:rPr>
              <w:t>4</w:t>
            </w:r>
            <w:r>
              <w:rPr>
                <w:rFonts w:hint="eastAsia" w:ascii="仿宋" w:hAnsi="仿宋" w:eastAsia="仿宋" w:cs="仿宋"/>
                <w:i w:val="0"/>
                <w:iCs w:val="0"/>
                <w:color w:val="000000"/>
                <w:kern w:val="0"/>
                <w:sz w:val="24"/>
                <w:szCs w:val="24"/>
                <w:u w:val="none"/>
                <w:lang w:val="en-US" w:eastAsia="zh-CN" w:bidi="ar"/>
              </w:rPr>
              <w:t>、配30×1.5/2ml气密性固定角转，最大相对离心力 20,817×g (14,000 rpm)；配6×15/50ml锥形管固定角转，最大相对离心力：7,745×g (7,830 rpm)；配置适用于2 × 微孔板、PCR 板和深孔板（最大相对离心力 2,204 × g，最大转速4,680 rpm）；水平转子, 含2个微孔板吊篮及转子盖等；4个不同规格转子</w:t>
            </w:r>
          </w:p>
        </w:tc>
        <w:tc>
          <w:tcPr>
            <w:tcW w:w="0" w:type="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移液器</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0" w:type="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0" w:type="auto"/>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1.产品技术性能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1)采用系统的高科技材质，重量≤80g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2)可整支高温高压灭菌和紫外线灭菌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3)人体工程学设计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4)下半支可徒手拆卸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5)伸缩式弹性吸嘴设计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6)四位数字放大体积显示，可精准设置移液体积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7)体积视窗位置在前面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8)具有密度调节窗口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9)9)量程选择：0.1-2.5µL、0.5-10µL、10 – 100 µL、20-200µL、100-1000µL各一支</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精确度：0.1μL时≤±0.012μL；0.5μL时≤±0.025μL；10μL时≤±0.1μL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10)颜色标识移液器量程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RFID 数据芯片读取功能，可读取数据进行追踪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12)多道移液器具备可拆卸的单独通道设计</w:t>
            </w:r>
          </w:p>
        </w:tc>
        <w:tc>
          <w:tcPr>
            <w:tcW w:w="0" w:type="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质保1年</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2"/>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、交货期：自行填写（</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cs="仿宋"/>
          <w:b w:val="0"/>
          <w:bCs w:val="0"/>
          <w:color w:val="auto"/>
          <w:sz w:val="24"/>
          <w:szCs w:val="24"/>
          <w:highlight w:val="none"/>
          <w:lang w:val="en-US" w:eastAsia="zh-CN"/>
        </w:rPr>
        <w:t>内</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、质保期：详见参数；</w:t>
      </w:r>
    </w:p>
    <w:p>
      <w:pPr>
        <w:pStyle w:val="2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rPr>
          <w:rFonts w:hint="eastAsia" w:ascii="仿宋" w:hAnsi="仿宋" w:eastAsia="仿宋" w:cs="仿宋"/>
          <w:lang w:val="en-US" w:eastAsia="zh-CN"/>
        </w:rPr>
      </w:pPr>
      <w:r>
        <w:rPr>
          <w:rFonts w:hint="eastAsia" w:ascii="仿宋" w:hAnsi="仿宋" w:cs="仿宋"/>
          <w:lang w:val="en-US" w:eastAsia="zh-CN"/>
        </w:rPr>
        <w:t>6</w:t>
      </w:r>
      <w:r>
        <w:rPr>
          <w:rFonts w:hint="eastAsia" w:ascii="仿宋" w:hAnsi="仿宋" w:eastAsia="仿宋" w:cs="仿宋"/>
          <w:lang w:val="en-US" w:eastAsia="zh-CN"/>
        </w:rPr>
        <w:t>、验收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ascii="仿宋" w:hAnsi="仿宋" w:eastAsia="仿宋" w:cs="仿宋"/>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p>
    <w:p>
      <w:pPr>
        <w:pStyle w:val="2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7</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eastAsia="仿宋" w:cs="仿宋"/>
          <w:color w:val="auto"/>
          <w:sz w:val="24"/>
          <w:highlight w:val="none"/>
        </w:rPr>
        <w:t>同签订后</w:t>
      </w:r>
      <w:r>
        <w:rPr>
          <w:rFonts w:hint="eastAsia" w:ascii="仿宋" w:hAnsi="仿宋" w:cs="仿宋"/>
          <w:color w:val="auto"/>
          <w:sz w:val="24"/>
          <w:highlight w:val="none"/>
          <w:lang w:val="en-US" w:eastAsia="zh-CN"/>
        </w:rPr>
        <w:t>3个工作日内</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进口设备：合同签订</w:t>
      </w:r>
      <w:r>
        <w:rPr>
          <w:rFonts w:hint="eastAsia" w:ascii="仿宋" w:hAnsi="仿宋" w:eastAsia="仿宋" w:cs="仿宋"/>
          <w:color w:val="auto"/>
          <w:sz w:val="24"/>
          <w:highlight w:val="none"/>
          <w:lang w:eastAsia="zh-CN"/>
        </w:rPr>
        <w:t>后</w:t>
      </w:r>
      <w:r>
        <w:rPr>
          <w:rFonts w:hint="eastAsia" w:ascii="仿宋" w:hAnsi="仿宋" w:cs="仿宋"/>
          <w:color w:val="auto"/>
          <w:sz w:val="24"/>
          <w:highlight w:val="none"/>
          <w:lang w:val="en-US" w:eastAsia="zh-CN"/>
        </w:rPr>
        <w:t>3个工作日内</w:t>
      </w:r>
      <w:r>
        <w:rPr>
          <w:rFonts w:hint="eastAsia" w:ascii="仿宋" w:hAnsi="仿宋" w:eastAsia="仿宋" w:cs="仿宋"/>
          <w:color w:val="auto"/>
          <w:sz w:val="24"/>
          <w:highlight w:val="none"/>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外贸公司开具以中标人指定的国外生产商为受益人的不可撤销即期信用证，或货到后电汇。</w:t>
      </w:r>
    </w:p>
    <w:p>
      <w:pPr>
        <w:pStyle w:val="2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1"/>
        <w:spacing w:before="0" w:beforeAutospacing="0" w:after="0" w:afterAutospacing="0" w:line="440" w:lineRule="exact"/>
        <w:ind w:firstLine="480" w:firstLineChars="200"/>
        <w:rPr>
          <w:rFonts w:hint="eastAsia" w:ascii="仿宋" w:hAnsi="仿宋" w:eastAsia="仿宋" w:cs="仿宋"/>
          <w:b/>
        </w:rPr>
      </w:pPr>
      <w:r>
        <w:rPr>
          <w:rFonts w:hint="eastAsia" w:ascii="仿宋" w:hAnsi="仿宋" w:cs="仿宋"/>
          <w:color w:val="auto"/>
          <w:sz w:val="24"/>
          <w:highlight w:val="none"/>
          <w:lang w:val="en-US" w:eastAsia="zh-CN"/>
        </w:rPr>
        <w:t>9</w:t>
      </w:r>
      <w:r>
        <w:rPr>
          <w:rFonts w:hint="eastAsia" w:ascii="仿宋" w:hAnsi="仿宋" w:eastAsia="仿宋" w:cs="仿宋"/>
          <w:color w:val="auto"/>
          <w:sz w:val="24"/>
          <w:highlight w:val="none"/>
          <w:lang w:val="en-US" w:eastAsia="zh-CN"/>
        </w:rPr>
        <w:t>、</w:t>
      </w:r>
      <w:r>
        <w:rPr>
          <w:rFonts w:hint="eastAsia" w:ascii="仿宋" w:hAnsi="仿宋" w:eastAsia="仿宋" w:cs="仿宋"/>
          <w:b/>
        </w:rPr>
        <w:t>外贸代理收费标准（</w:t>
      </w:r>
      <w:r>
        <w:rPr>
          <w:rFonts w:hint="eastAsia" w:ascii="仿宋" w:hAnsi="仿宋" w:eastAsia="仿宋" w:cs="仿宋"/>
          <w:b/>
          <w:bCs/>
        </w:rPr>
        <w:t>以差额累进法计算</w:t>
      </w:r>
      <w:r>
        <w:rPr>
          <w:rFonts w:hint="eastAsia" w:ascii="仿宋" w:hAnsi="仿宋" w:eastAsia="仿宋" w:cs="仿宋"/>
          <w:b/>
        </w:rPr>
        <w:t>）</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2263"/>
        <w:gridCol w:w="5284"/>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序号</w:t>
            </w:r>
          </w:p>
        </w:tc>
        <w:tc>
          <w:tcPr>
            <w:tcW w:w="114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lang w:eastAsia="zh-CN"/>
              </w:rPr>
            </w:pPr>
            <w:r>
              <w:rPr>
                <w:rFonts w:hint="eastAsia" w:ascii="仿宋" w:hAnsi="仿宋" w:eastAsia="仿宋" w:cs="仿宋"/>
                <w:sz w:val="24"/>
                <w:lang w:eastAsia="zh-CN"/>
              </w:rPr>
              <w:t>外贸代理公司</w:t>
            </w: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委托合同金额（元）</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1</w:t>
            </w:r>
          </w:p>
        </w:tc>
        <w:tc>
          <w:tcPr>
            <w:tcW w:w="1149" w:type="pct"/>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color w:val="000000"/>
                <w:shd w:val="clear" w:color="auto" w:fill="FFFFFF"/>
              </w:rPr>
              <w:t>山东福恩国际贸易有限公司</w:t>
            </w: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合同金额在30万元（含）以下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2</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合同金额在30万元以上100万元（含）以下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3</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合同金额在100万元以上300万元（含）以下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4</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合同金额在300万元以上1000万元（含）以下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5</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合同金额在1000万元以上</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0.18%</w:t>
            </w:r>
          </w:p>
        </w:tc>
      </w:tr>
    </w:tbl>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1、外贸代理费由中标方或成交供应商承担并由其支付给乙方。</w:t>
      </w:r>
    </w:p>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2、以上代理服务费为从签订三方合同到设备至甲方指定地点期间所产生的全部费用，含代办免税、批件手续以及有关进口环节发生的费用（如银行费用、报关费、仓储费、送货费等）</w:t>
      </w:r>
    </w:p>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3、海运设备及大型超重设备的运费及装卸费用，由乙方与中标商另行商议，与甲方无关。</w:t>
      </w:r>
    </w:p>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4、代理服务费不含海关根据政策不批准免税所发生的海关税费，上述费用由甲方承担。</w:t>
      </w:r>
    </w:p>
    <w:p>
      <w:pPr>
        <w:pStyle w:val="21"/>
        <w:spacing w:before="0" w:beforeAutospacing="0" w:after="0" w:afterAutospacing="0"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lang w:val="en-US" w:eastAsia="zh-CN"/>
        </w:rPr>
        <w:t>1.</w:t>
      </w:r>
      <w:r>
        <w:rPr>
          <w:rFonts w:hint="eastAsia" w:ascii="仿宋" w:hAnsi="仿宋" w:eastAsia="仿宋" w:cs="仿宋"/>
        </w:rPr>
        <w:t>5、其他特殊情况产生的费用，由甲方同外贸代理服务商双方协商决定。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w:t>
      </w:r>
      <w:r>
        <w:rPr>
          <w:rFonts w:hint="eastAsia" w:ascii="仿宋" w:hAnsi="仿宋" w:cs="仿宋"/>
          <w:color w:val="auto"/>
          <w:sz w:val="24"/>
          <w:highlight w:val="none"/>
          <w:lang w:val="en-US" w:eastAsia="zh-CN"/>
        </w:rPr>
        <w:t>0</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6"/>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abstractNum w:abstractNumId="1">
    <w:nsid w:val="D5EA8FCE"/>
    <w:multiLevelType w:val="singleLevel"/>
    <w:tmpl w:val="D5EA8FCE"/>
    <w:lvl w:ilvl="0" w:tentative="0">
      <w:start w:val="1"/>
      <w:numFmt w:val="decimal"/>
      <w:suff w:val="space"/>
      <w:lvlText w:val="%1."/>
      <w:lvlJc w:val="left"/>
    </w:lvl>
  </w:abstractNum>
  <w:abstractNum w:abstractNumId="2">
    <w:nsid w:val="1CCE0515"/>
    <w:multiLevelType w:val="singleLevel"/>
    <w:tmpl w:val="1CCE0515"/>
    <w:lvl w:ilvl="0" w:tentative="0">
      <w:start w:val="1"/>
      <w:numFmt w:val="decimal"/>
      <w:suff w:val="nothing"/>
      <w:lvlText w:val="%1、"/>
      <w:lvlJc w:val="left"/>
    </w:lvl>
  </w:abstractNum>
  <w:abstractNum w:abstractNumId="3">
    <w:nsid w:val="5783C819"/>
    <w:multiLevelType w:val="singleLevel"/>
    <w:tmpl w:val="5783C819"/>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2076F1C"/>
    <w:rsid w:val="02576FB2"/>
    <w:rsid w:val="02C915A2"/>
    <w:rsid w:val="03877628"/>
    <w:rsid w:val="03EE1B4A"/>
    <w:rsid w:val="04D4670C"/>
    <w:rsid w:val="055359A5"/>
    <w:rsid w:val="0562071E"/>
    <w:rsid w:val="05880306"/>
    <w:rsid w:val="059F550F"/>
    <w:rsid w:val="067F5B8E"/>
    <w:rsid w:val="0945226B"/>
    <w:rsid w:val="0A495CE9"/>
    <w:rsid w:val="0B1D50BA"/>
    <w:rsid w:val="0BF447CA"/>
    <w:rsid w:val="0D9E6B6D"/>
    <w:rsid w:val="110F5F23"/>
    <w:rsid w:val="119B16ED"/>
    <w:rsid w:val="11DE0500"/>
    <w:rsid w:val="11F77D50"/>
    <w:rsid w:val="12A367ED"/>
    <w:rsid w:val="154E20EE"/>
    <w:rsid w:val="159B2240"/>
    <w:rsid w:val="1AAE34C5"/>
    <w:rsid w:val="1AF71A23"/>
    <w:rsid w:val="1B921814"/>
    <w:rsid w:val="1B9A2A3D"/>
    <w:rsid w:val="1BDC38CD"/>
    <w:rsid w:val="1D1F5313"/>
    <w:rsid w:val="1D2B3667"/>
    <w:rsid w:val="23547885"/>
    <w:rsid w:val="260F6A7F"/>
    <w:rsid w:val="29420625"/>
    <w:rsid w:val="2B793244"/>
    <w:rsid w:val="2BD01A9C"/>
    <w:rsid w:val="2BD650E5"/>
    <w:rsid w:val="2CD9399D"/>
    <w:rsid w:val="2DFB6BFF"/>
    <w:rsid w:val="2FDB2CCA"/>
    <w:rsid w:val="30127023"/>
    <w:rsid w:val="33751F41"/>
    <w:rsid w:val="3393152A"/>
    <w:rsid w:val="34DF5C2B"/>
    <w:rsid w:val="367100EE"/>
    <w:rsid w:val="371A5E68"/>
    <w:rsid w:val="380C3E1A"/>
    <w:rsid w:val="390F5ADC"/>
    <w:rsid w:val="39B746CA"/>
    <w:rsid w:val="3AAA02EE"/>
    <w:rsid w:val="3CD04444"/>
    <w:rsid w:val="3D531176"/>
    <w:rsid w:val="3D860DFB"/>
    <w:rsid w:val="3E576763"/>
    <w:rsid w:val="40B70431"/>
    <w:rsid w:val="46040D75"/>
    <w:rsid w:val="47C62C46"/>
    <w:rsid w:val="49724248"/>
    <w:rsid w:val="4AAE5CE4"/>
    <w:rsid w:val="4C803E8D"/>
    <w:rsid w:val="4D5918DA"/>
    <w:rsid w:val="4D9A32B2"/>
    <w:rsid w:val="4DDF4972"/>
    <w:rsid w:val="4F373AFF"/>
    <w:rsid w:val="4F8E4934"/>
    <w:rsid w:val="533B50C3"/>
    <w:rsid w:val="54C849A4"/>
    <w:rsid w:val="54EA2115"/>
    <w:rsid w:val="556F5ADF"/>
    <w:rsid w:val="571D0F49"/>
    <w:rsid w:val="57C01E34"/>
    <w:rsid w:val="598E00B2"/>
    <w:rsid w:val="59EF71EF"/>
    <w:rsid w:val="5B037419"/>
    <w:rsid w:val="619F5A9B"/>
    <w:rsid w:val="631D6B7A"/>
    <w:rsid w:val="63C611BD"/>
    <w:rsid w:val="65D7099C"/>
    <w:rsid w:val="66B23A7E"/>
    <w:rsid w:val="694D5CE0"/>
    <w:rsid w:val="6B0A211F"/>
    <w:rsid w:val="6E9F7CD4"/>
    <w:rsid w:val="70DC1201"/>
    <w:rsid w:val="74B90999"/>
    <w:rsid w:val="785C076E"/>
    <w:rsid w:val="78A92B1B"/>
    <w:rsid w:val="792A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List 3"/>
    <w:basedOn w:val="1"/>
    <w:qFormat/>
    <w:uiPriority w:val="0"/>
    <w:pPr>
      <w:ind w:left="100" w:leftChars="400" w:hanging="200" w:hangingChars="200"/>
    </w:pPr>
  </w:style>
  <w:style w:type="paragraph" w:styleId="7">
    <w:name w:val="caption"/>
    <w:basedOn w:val="1"/>
    <w:next w:val="1"/>
    <w:qFormat/>
    <w:uiPriority w:val="0"/>
    <w:pPr>
      <w:spacing w:before="152" w:after="160"/>
    </w:pPr>
    <w:rPr>
      <w:rFonts w:ascii="Arial" w:hAnsi="Arial" w:eastAsia="黑体" w:cs="Arial"/>
      <w:sz w:val="20"/>
    </w:rPr>
  </w:style>
  <w:style w:type="paragraph" w:styleId="8">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9">
    <w:name w:val="Body Text 3"/>
    <w:basedOn w:val="1"/>
    <w:link w:val="37"/>
    <w:semiHidden/>
    <w:unhideWhenUsed/>
    <w:qFormat/>
    <w:uiPriority w:val="99"/>
    <w:pPr>
      <w:spacing w:after="120"/>
    </w:pPr>
    <w:rPr>
      <w:sz w:val="16"/>
      <w:szCs w:val="16"/>
    </w:rPr>
  </w:style>
  <w:style w:type="paragraph" w:styleId="10">
    <w:name w:val="Body Text"/>
    <w:basedOn w:val="1"/>
    <w:qFormat/>
    <w:uiPriority w:val="0"/>
    <w:pPr>
      <w:spacing w:after="120"/>
    </w:pPr>
  </w:style>
  <w:style w:type="paragraph" w:styleId="11">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12">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3">
    <w:name w:val="Plain Text"/>
    <w:basedOn w:val="1"/>
    <w:link w:val="38"/>
    <w:qFormat/>
    <w:uiPriority w:val="0"/>
    <w:rPr>
      <w:rFonts w:ascii="宋体" w:hAnsi="Courier New" w:eastAsia="宋体"/>
      <w:sz w:val="21"/>
    </w:rPr>
  </w:style>
  <w:style w:type="paragraph" w:styleId="14">
    <w:name w:val="Body Text Indent 2"/>
    <w:basedOn w:val="1"/>
    <w:qFormat/>
    <w:uiPriority w:val="0"/>
    <w:pPr>
      <w:spacing w:line="500" w:lineRule="exact"/>
      <w:ind w:firstLine="442"/>
    </w:pPr>
  </w:style>
  <w:style w:type="paragraph" w:styleId="15">
    <w:name w:val="Balloon Text"/>
    <w:basedOn w:val="1"/>
    <w:link w:val="42"/>
    <w:semiHidden/>
    <w:unhideWhenUsed/>
    <w:qFormat/>
    <w:uiPriority w:val="99"/>
    <w:pPr>
      <w:spacing w:line="240" w:lineRule="auto"/>
    </w:pPr>
    <w:rPr>
      <w:sz w:val="18"/>
      <w:szCs w:val="18"/>
    </w:rPr>
  </w:style>
  <w:style w:type="paragraph" w:styleId="16">
    <w:name w:val="footer"/>
    <w:basedOn w:val="1"/>
    <w:link w:val="29"/>
    <w:unhideWhenUsed/>
    <w:qFormat/>
    <w:uiPriority w:val="99"/>
    <w:pPr>
      <w:tabs>
        <w:tab w:val="center" w:pos="4153"/>
        <w:tab w:val="right" w:pos="8306"/>
      </w:tabs>
      <w:snapToGrid w:val="0"/>
    </w:pPr>
    <w:rPr>
      <w:sz w:val="18"/>
      <w:szCs w:val="18"/>
    </w:rPr>
  </w:style>
  <w:style w:type="paragraph" w:styleId="1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rPr>
      <w:rFonts w:ascii="Times New Roman" w:hAnsi="Times New Roman"/>
    </w:rPr>
  </w:style>
  <w:style w:type="paragraph" w:styleId="19">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0">
    <w:name w:val="toc 2"/>
    <w:basedOn w:val="1"/>
    <w:next w:val="1"/>
    <w:unhideWhenUsed/>
    <w:qFormat/>
    <w:uiPriority w:val="39"/>
    <w:pPr>
      <w:ind w:left="200" w:leftChars="200"/>
    </w:pPr>
    <w:rPr>
      <w:rFonts w:ascii="Times New Roman" w:hAnsi="Times New Roman"/>
    </w:rPr>
  </w:style>
  <w:style w:type="paragraph" w:styleId="21">
    <w:name w:val="Normal (Web)"/>
    <w:basedOn w:val="1"/>
    <w:qFormat/>
    <w:uiPriority w:val="0"/>
    <w:pPr>
      <w:widowControl/>
      <w:spacing w:before="100" w:beforeAutospacing="1" w:after="100" w:afterAutospacing="1"/>
    </w:pPr>
    <w:rPr>
      <w:rFonts w:ascii="宋体" w:hAnsi="宋体" w:cs="宋体"/>
      <w:kern w:val="0"/>
      <w:szCs w:val="24"/>
    </w:rPr>
  </w:style>
  <w:style w:type="paragraph" w:styleId="22">
    <w:name w:val="Body Text First Indent 2"/>
    <w:basedOn w:val="11"/>
    <w:next w:val="1"/>
    <w:link w:val="45"/>
    <w:semiHidden/>
    <w:unhideWhenUsed/>
    <w:qFormat/>
    <w:uiPriority w:val="99"/>
    <w:pPr>
      <w:ind w:firstLine="420"/>
    </w:pPr>
    <w:rPr>
      <w:rFonts w:ascii="Calibri" w:hAnsi="Calibri" w:eastAsia="仿宋" w:cs="Times New Roman"/>
      <w:sz w:val="24"/>
      <w:szCs w:val="20"/>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7"/>
    <w:qFormat/>
    <w:uiPriority w:val="99"/>
    <w:rPr>
      <w:sz w:val="18"/>
      <w:szCs w:val="18"/>
    </w:rPr>
  </w:style>
  <w:style w:type="character" w:customStyle="1" w:styleId="29">
    <w:name w:val="页脚 字符"/>
    <w:basedOn w:val="25"/>
    <w:link w:val="16"/>
    <w:qFormat/>
    <w:uiPriority w:val="99"/>
    <w:rPr>
      <w:sz w:val="18"/>
      <w:szCs w:val="18"/>
    </w:rPr>
  </w:style>
  <w:style w:type="character" w:customStyle="1" w:styleId="30">
    <w:name w:val="正文文本缩进 字符"/>
    <w:link w:val="11"/>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5"/>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4"/>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3"/>
    <w:qFormat/>
    <w:uiPriority w:val="9"/>
    <w:rPr>
      <w:rFonts w:ascii="Calibri" w:hAnsi="Calibri" w:eastAsia="仿宋" w:cs="Times New Roman"/>
      <w:b/>
      <w:bCs/>
      <w:kern w:val="44"/>
      <w:sz w:val="44"/>
      <w:szCs w:val="44"/>
    </w:rPr>
  </w:style>
  <w:style w:type="character" w:customStyle="1" w:styleId="37">
    <w:name w:val="正文文本 3 字符"/>
    <w:basedOn w:val="25"/>
    <w:link w:val="9"/>
    <w:semiHidden/>
    <w:qFormat/>
    <w:uiPriority w:val="99"/>
    <w:rPr>
      <w:rFonts w:ascii="Calibri" w:hAnsi="Calibri" w:eastAsia="仿宋" w:cs="Times New Roman"/>
      <w:sz w:val="16"/>
      <w:szCs w:val="16"/>
    </w:rPr>
  </w:style>
  <w:style w:type="character" w:customStyle="1" w:styleId="38">
    <w:name w:val="纯文本 字符"/>
    <w:link w:val="13"/>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5"/>
    <w:semiHidden/>
    <w:qFormat/>
    <w:uiPriority w:val="99"/>
    <w:rPr>
      <w:rFonts w:ascii="Calibri" w:hAnsi="Calibri" w:eastAsia="仿宋"/>
      <w:kern w:val="2"/>
      <w:sz w:val="18"/>
      <w:szCs w:val="18"/>
    </w:rPr>
  </w:style>
  <w:style w:type="character" w:customStyle="1" w:styleId="43">
    <w:name w:val="批注文字 字符"/>
    <w:basedOn w:val="25"/>
    <w:link w:val="8"/>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2"/>
    <w:semiHidden/>
    <w:qFormat/>
    <w:uiPriority w:val="99"/>
    <w:rPr>
      <w:rFonts w:ascii="Calibri" w:hAnsi="Calibri" w:eastAsia="仿宋"/>
      <w:kern w:val="2"/>
      <w:sz w:val="24"/>
    </w:rPr>
  </w:style>
  <w:style w:type="paragraph" w:customStyle="1" w:styleId="46">
    <w:name w:val="_Style 41"/>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3"/>
    <w:qFormat/>
    <w:uiPriority w:val="0"/>
    <w:pPr>
      <w:spacing w:after="0" w:line="220" w:lineRule="atLeast"/>
      <w:jc w:val="center"/>
    </w:pPr>
    <w:rPr>
      <w:rFonts w:ascii="仿宋" w:hAnsi="仿宋" w:eastAsia="仿宋"/>
      <w:sz w:val="24"/>
      <w:szCs w:val="24"/>
    </w:rPr>
  </w:style>
  <w:style w:type="paragraph" w:styleId="61">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53</Pages>
  <Words>26546</Words>
  <Characters>31044</Characters>
  <Lines>56</Lines>
  <Paragraphs>15</Paragraphs>
  <TotalTime>1</TotalTime>
  <ScaleCrop>false</ScaleCrop>
  <LinksUpToDate>false</LinksUpToDate>
  <CharactersWithSpaces>31809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2023-07-25T08:05:28Z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5D3E90DFBD414FA1B89755CC9C0FB690</vt:lpwstr>
  </property>
</Properties>
</file>