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山东第一医科大学（山东省医学科学院）国际教育学院学生公寓电表系统改造</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SDGP370000000202602005994</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山东普华项目管理有限公司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山东普华项目管理有限公司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山东第一医科大学（山东省医学科学院）国际教育学院学生公寓电表系统改造</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SDGP370000000202602005994</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山东第一医科大学（山东省医学科学院）国际教育学院学生公寓电表系统改造</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泰安校区国际教育学院3座学生公寓楼拟进行公寓电表系统恶性负载分类控制升级改造，主要内容包括更换智能电表，敷设线路、安装控制箱等内容。项目完成后保障公寓用电安全，实现智能电表的各项管理传输功能，完成与学校校园一卡通“完美校园”对接。</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1、具有独立承担民事责任的能力：提供事业单位法人证书或营业执照等证明文件，自然人的身份证明（加盖公章）</w:t>
      </w:r>
    </w:p>
    <w:p>
      <w:pPr>
        <w:pStyle w:val="null5"/>
        <w:jc w:val="left"/>
      </w:pPr>
      <w:r>
        <w:rPr>
          <w:rFonts w:ascii="仿宋_GB2312" w:hAnsi="仿宋_GB2312" w:cs="仿宋_GB2312" w:eastAsia="仿宋_GB2312"/>
        </w:rPr>
        <w:t>2、法定代表人身份证明书或法定代表人授权委托书：如授权代表参加投标，可只提供法定代表人授权委托书复印件（加盖公章）；如法定代表人参加投标，可只提供法定代表人身份证明书复印件（加盖公章）；如授权代表参加投标，须提供法定代表人授权委托书复印件以及响应截止时间前近3个月的连续缴纳社保证明(新成立企业不足3个月的须提供成立以来至今的连续缴纳社保证明)。</w:t>
      </w:r>
    </w:p>
    <w:p>
      <w:pPr>
        <w:pStyle w:val="null5"/>
        <w:jc w:val="left"/>
      </w:pPr>
      <w:r>
        <w:rPr>
          <w:rFonts w:ascii="仿宋_GB2312" w:hAnsi="仿宋_GB2312" w:cs="仿宋_GB2312" w:eastAsia="仿宋_GB2312"/>
        </w:rPr>
        <w:t>3、经审计的财务报告或资信证明：供应商应提供2024年或2025年度经审计的财务报告或其在响应文件提交截止时间前3个月内银行出具的资信证明复印件（加盖公章）。</w:t>
      </w:r>
    </w:p>
    <w:p>
      <w:pPr>
        <w:pStyle w:val="null5"/>
        <w:jc w:val="left"/>
      </w:pPr>
      <w:r>
        <w:rPr>
          <w:rFonts w:ascii="仿宋_GB2312" w:hAnsi="仿宋_GB2312" w:cs="仿宋_GB2312" w:eastAsia="仿宋_GB2312"/>
        </w:rPr>
        <w:t>4、供应商须具有履行合同所必需的设备和专业技术能力，须附承诺函或相关证明材料：供应商须具有履行合同所必需的设备和专业技术能力，须附承诺函或相关证明材料。（加盖公章）</w:t>
      </w:r>
    </w:p>
    <w:p>
      <w:pPr>
        <w:pStyle w:val="null5"/>
        <w:jc w:val="left"/>
      </w:pPr>
      <w:r>
        <w:rPr>
          <w:rFonts w:ascii="仿宋_GB2312" w:hAnsi="仿宋_GB2312" w:cs="仿宋_GB2312" w:eastAsia="仿宋_GB2312"/>
        </w:rPr>
        <w:t>5、具有依法缴纳税收和社会保障资金的良好记录 ：供应商应提供缴纳税收、社会保障资金的证明材料，须提供本单位 2026年4月份至磋商截至时间前连续三个月依法缴纳税收和社会保障资金的证明材料。依法缴纳税收、社会保障资金凭据（注：依法免税或不需要缴纳社会保障资金的供应商，须提供相应文件证明其依法免税或不需要缴纳社会保障资金证明材料）（加盖公章）</w:t>
      </w:r>
    </w:p>
    <w:p>
      <w:pPr>
        <w:pStyle w:val="null5"/>
        <w:jc w:val="left"/>
      </w:pPr>
      <w:r>
        <w:rPr>
          <w:rFonts w:ascii="仿宋_GB2312" w:hAnsi="仿宋_GB2312" w:cs="仿宋_GB2312" w:eastAsia="仿宋_GB2312"/>
        </w:rPr>
        <w:t>6、参加政府采购活动前三年内，在经营活动中没有重大违法记录：近三年内（本项目响应文件递交截止日前）供应商在经营活动中没有重大违法记录，供应商须提供书面声明（加盖公章）</w:t>
      </w:r>
    </w:p>
    <w:p>
      <w:pPr>
        <w:pStyle w:val="null5"/>
        <w:jc w:val="left"/>
      </w:pPr>
      <w:r>
        <w:rPr>
          <w:rFonts w:ascii="仿宋_GB2312" w:hAnsi="仿宋_GB2312" w:cs="仿宋_GB2312" w:eastAsia="仿宋_GB2312"/>
        </w:rPr>
        <w:t>7、供应商无不良信用记录：通过“信用中国”或“信用山东”、“中国政府采购网”网站查询供应商信用记录，未被列入失信被执行人、重大税收违法案件当事人名单及政府采购严重违法失信行为记录名单的</w:t>
      </w:r>
    </w:p>
    <w:p>
      <w:pPr>
        <w:pStyle w:val="null5"/>
        <w:jc w:val="left"/>
      </w:pPr>
      <w:r>
        <w:rPr>
          <w:rFonts w:ascii="仿宋_GB2312" w:hAnsi="仿宋_GB2312" w:cs="仿宋_GB2312" w:eastAsia="仿宋_GB2312"/>
        </w:rPr>
        <w:t>8、单位负责人为同一人或者存在直接控股、管理关系的不同供应商，不得参加同一包的投标或者未划分包的同一项目的投标：供应商须提供书面声明（加盖公章）</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1、供应商应具有电子与智能化专业承包资质（贰级或以上），并具有有效的安全生产许可证：供应商应具有电子与智能化专业承包资质（贰级或以上），并具有有效的安全生产许可证（须提供相关证书复印件）</w:t>
      </w:r>
    </w:p>
    <w:p>
      <w:pPr>
        <w:pStyle w:val="null5"/>
        <w:jc w:val="left"/>
      </w:pPr>
      <w:r>
        <w:rPr>
          <w:rFonts w:ascii="仿宋_GB2312" w:hAnsi="仿宋_GB2312" w:cs="仿宋_GB2312" w:eastAsia="仿宋_GB2312"/>
        </w:rPr>
        <w:t>2、拟派项目经理须具备机电工程专业二级及以上注册建造师执业资格，具备有效的安全生产考核合格B证证书，且未担任其他在施建设工程项目，拟投入本项目的经理须符合《注册建造师管理规定》和《山东省人民政府办公厅关于进一步加强房屋建筑和市政工程招标投标监督管理的意见》的相关规定：拟派项目经理须具备机电工程专业二级及以上注册建造师执业资格，具备有效的安全生产考核合格B证证书，且未担任其他在施建设工程项目，拟投入本项目的经理须符合《注册建造师管理规定》和《山东省人民政府办公厅关于进一步加强房屋建筑和市政工程招标投标监督管理的意见》的相关规定</w:t>
      </w:r>
    </w:p>
    <w:p>
      <w:pPr>
        <w:pStyle w:val="null5"/>
        <w:jc w:val="left"/>
      </w:pPr>
      <w:r>
        <w:rPr>
          <w:rFonts w:ascii="仿宋_GB2312" w:hAnsi="仿宋_GB2312" w:cs="仿宋_GB2312" w:eastAsia="仿宋_GB2312"/>
        </w:rPr>
        <w:t>3、根据《关于对财政性资金管理使用领域相关失信责任主体实施联合惩戒的合作备忘录》（发改财金[2016]2641号文件），凡被公布为失信责任主体的供应商，不得参加本项目投标报价：根据《关于对财政性资金管理使用领域相关失信责任主体实施联合惩戒的合作备忘录》（发改财金[2016]2641号文件），凡被公布为失信责任主体的供应商，不得参加本项目投标报价</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250022</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山东普华项目管理有限公司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济南市历下区历山路179号历山名郡C5座西单元</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符永欣、武元河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0531-55655236</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采购包1：298,982.25元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说明：缴纳时间：⾃成交公告发布之⽇起3个⼯作⽇内成交供应商向采购⼈指定账⼾缴纳履约保证⾦。 形式：银⾏本票、银⾏汇票、电汇(含⽹银转账)等⾮现⾦形式。 期限:自本工程合同生效之日起至本工程质量保证金预留之日止。 退还时间：整体工程竣工验收合格后，工程施工过程中未出现重大质量问题、安全问题、严重拖欠农民工工资等情况的，甲方将履约保证金（扣除各种违约金后）五个⼯作⽇内⽆息退还乙方，退还⽅式按其原缴纳方式退还。</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采购包1：不收取</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自报价截止之日起不得少于90日历天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1、代理服务费参照《国家发展改革委办公厅关于招标代理服务收费有关问题的通知》(发改办价格[2003]857号)和国家计委关于《招标代理服务收费管理暂行办法》（计价格[2002]1980号）文件工程类计费标准的70%计取。成交供应商应自本项目成交公示发布之日起3个工作日内按上述收费标准缴纳至代理机构。 账户信息如下： 开户银行及账号如下： 开户单位名称：山东普华项目管理有限公司 开户银行：中国民生银行股份有限公司济南历山支行 账 号：639285709 注：缴纳时须注明“ 项目名称及包号 代理服务费”字样。</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山东普华项目管理有限公司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山东普华项目管理有限公司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乙方交付项目</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采购标的中要求的相关内容</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符合磋商文件、响应文件及合同中技术内容</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符合磋商文件、响应文件及合同中技术内容</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符合国家现行质量验收规范，达到合格标准。</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山东普华项目管理有限公司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山东普华项目管理有限公司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联系人：符永欣、武元河</w:t>
      </w:r>
    </w:p>
    <w:p>
      <w:pPr>
        <w:pStyle w:val="null5"/>
        <w:jc w:val="left"/>
      </w:pPr>
      <w:r>
        <w:rPr>
          <w:rFonts w:ascii="仿宋_GB2312" w:hAnsi="仿宋_GB2312" w:cs="仿宋_GB2312" w:eastAsia="仿宋_GB2312"/>
        </w:rPr>
        <w:t>联系电话：0531-55655236</w:t>
      </w:r>
    </w:p>
    <w:p>
      <w:pPr>
        <w:pStyle w:val="null5"/>
        <w:jc w:val="left"/>
      </w:pPr>
      <w:r>
        <w:rPr>
          <w:rFonts w:ascii="仿宋_GB2312" w:hAnsi="仿宋_GB2312" w:cs="仿宋_GB2312" w:eastAsia="仿宋_GB2312"/>
        </w:rPr>
        <w:t>地址：济南市历下区历山路179号历山名郡C5座西单元</w:t>
      </w:r>
    </w:p>
    <w:p>
      <w:pPr>
        <w:pStyle w:val="null5"/>
        <w:jc w:val="left"/>
      </w:pPr>
      <w:r>
        <w:rPr>
          <w:rFonts w:ascii="仿宋_GB2312" w:hAnsi="仿宋_GB2312" w:cs="仿宋_GB2312" w:eastAsia="仿宋_GB2312"/>
        </w:rPr>
        <w:t>邮编：250014</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298,982.25</w:t>
      </w:r>
    </w:p>
    <w:p>
      <w:pPr>
        <w:pStyle w:val="null5"/>
        <w:jc w:val="left"/>
      </w:pPr>
      <w:r>
        <w:rPr>
          <w:rFonts w:ascii="仿宋_GB2312" w:hAnsi="仿宋_GB2312" w:cs="仿宋_GB2312" w:eastAsia="仿宋_GB2312"/>
        </w:rPr>
        <w:t>采购包最高限价（元）: 298,982.25</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国际教育学院学生公寓电表系统改造</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298,982.25</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国际教育学院学生公寓电表系统改造</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元</w:t>
            </w:r>
          </w:p>
        </w:tc>
        <w:tc>
          <w:tcPr>
            <w:tcW w:type="dxa" w:w="1384"/>
          </w:tcPr>
          <w:p>
            <w:pPr>
              <w:pStyle w:val="null5"/>
              <w:jc w:val="right"/>
            </w:pPr>
            <w:r>
              <w:rPr>
                <w:rFonts w:ascii="仿宋_GB2312" w:hAnsi="仿宋_GB2312" w:cs="仿宋_GB2312" w:eastAsia="仿宋_GB2312"/>
                <w:b/>
              </w:rPr>
              <w:t>298,982.25</w:t>
            </w:r>
          </w:p>
        </w:tc>
        <w:tc>
          <w:tcPr>
            <w:tcW w:type="dxa" w:w="1384"/>
          </w:tcPr>
          <w:p>
            <w:pPr>
              <w:pStyle w:val="null5"/>
              <w:jc w:val="left"/>
            </w:pPr>
            <w:r>
              <w:rPr>
                <w:rFonts w:ascii="仿宋_GB2312" w:hAnsi="仿宋_GB2312" w:cs="仿宋_GB2312" w:eastAsia="仿宋_GB2312"/>
                <w:b/>
              </w:rPr>
              <w:t>总价</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（2）报价明细要求：</w:t>
      </w:r>
    </w:p>
    <w:p>
      <w:pPr>
        <w:pStyle w:val="null5"/>
        <w:jc w:val="left"/>
      </w:pPr>
      <w:r>
        <w:rPr>
          <w:rFonts w:ascii="仿宋_GB2312" w:hAnsi="仿宋_GB2312" w:cs="仿宋_GB2312" w:eastAsia="仿宋_GB2312"/>
          <w:b/>
        </w:rPr>
        <w:t>国际教育学院学生公寓电表系统改造</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b/>
              </w:rPr>
              <w:t>序号</w:t>
            </w:r>
          </w:p>
        </w:tc>
        <w:tc>
          <w:tcPr>
            <w:tcW w:type="dxa" w:w="2076"/>
          </w:tcPr>
          <w:p>
            <w:pPr>
              <w:pStyle w:val="null5"/>
              <w:jc w:val="left"/>
            </w:pPr>
            <w:r>
              <w:rPr>
                <w:rFonts w:ascii="仿宋_GB2312" w:hAnsi="仿宋_GB2312" w:cs="仿宋_GB2312" w:eastAsia="仿宋_GB2312"/>
                <w:b/>
              </w:rPr>
              <w:t>报价明细内容</w:t>
            </w:r>
          </w:p>
        </w:tc>
        <w:tc>
          <w:tcPr>
            <w:tcW w:type="dxa" w:w="2076"/>
          </w:tcPr>
          <w:p>
            <w:pPr>
              <w:pStyle w:val="null5"/>
              <w:jc w:val="left"/>
            </w:pPr>
            <w:r>
              <w:rPr>
                <w:rFonts w:ascii="仿宋_GB2312" w:hAnsi="仿宋_GB2312" w:cs="仿宋_GB2312" w:eastAsia="仿宋_GB2312"/>
                <w:b/>
              </w:rPr>
              <w:t>报价要求</w:t>
            </w:r>
          </w:p>
        </w:tc>
        <w:tc>
          <w:tcPr>
            <w:tcW w:type="dxa" w:w="415"/>
          </w:tcPr>
          <w:p>
            <w:pPr>
              <w:pStyle w:val="null5"/>
              <w:jc w:val="left"/>
            </w:pPr>
            <w:r>
              <w:rPr>
                <w:rFonts w:ascii="仿宋_GB2312" w:hAnsi="仿宋_GB2312" w:cs="仿宋_GB2312" w:eastAsia="仿宋_GB2312"/>
                <w:b/>
              </w:rPr>
              <w:t>计量单位</w:t>
            </w:r>
          </w:p>
        </w:tc>
        <w:tc>
          <w:tcPr>
            <w:tcW w:type="dxa" w:w="415"/>
          </w:tcPr>
          <w:p>
            <w:pPr>
              <w:pStyle w:val="null5"/>
              <w:jc w:val="left"/>
            </w:pPr>
            <w:r>
              <w:rPr>
                <w:rFonts w:ascii="仿宋_GB2312" w:hAnsi="仿宋_GB2312" w:cs="仿宋_GB2312" w:eastAsia="仿宋_GB2312"/>
                <w:b/>
              </w:rPr>
              <w:t>报价单位</w:t>
            </w:r>
          </w:p>
        </w:tc>
        <w:tc>
          <w:tcPr>
            <w:tcW w:type="dxa" w:w="831"/>
          </w:tcPr>
          <w:p>
            <w:pPr>
              <w:pStyle w:val="null5"/>
              <w:jc w:val="left"/>
            </w:pPr>
            <w:r>
              <w:rPr>
                <w:rFonts w:ascii="仿宋_GB2312" w:hAnsi="仿宋_GB2312" w:cs="仿宋_GB2312" w:eastAsia="仿宋_GB2312"/>
                <w:b/>
              </w:rPr>
              <w:t>最高限价</w:t>
            </w:r>
          </w:p>
        </w:tc>
        <w:tc>
          <w:tcPr>
            <w:tcW w:type="dxa" w:w="831"/>
          </w:tcPr>
          <w:p>
            <w:pPr>
              <w:pStyle w:val="null5"/>
              <w:jc w:val="left"/>
            </w:pPr>
            <w:r>
              <w:rPr>
                <w:rFonts w:ascii="仿宋_GB2312" w:hAnsi="仿宋_GB2312" w:cs="仿宋_GB2312" w:eastAsia="仿宋_GB2312"/>
                <w:b/>
              </w:rPr>
              <w:t>价款形式</w:t>
            </w:r>
          </w:p>
        </w:tc>
        <w:tc>
          <w:tcPr>
            <w:tcW w:type="dxa" w:w="1246"/>
          </w:tcPr>
          <w:p>
            <w:pPr>
              <w:pStyle w:val="null5"/>
              <w:jc w:val="left"/>
            </w:pPr>
            <w:r>
              <w:rPr>
                <w:rFonts w:ascii="仿宋_GB2312" w:hAnsi="仿宋_GB2312" w:cs="仿宋_GB2312" w:eastAsia="仿宋_GB2312"/>
                <w:b/>
              </w:rPr>
              <w:t>报价说明</w:t>
            </w:r>
          </w:p>
        </w:tc>
      </w:tr>
      <w:tr>
        <w:tc>
          <w:tcPr>
            <w:tcW w:type="dxa" w:w="415"/>
          </w:tcPr>
          <w:p>
            <w:pPr>
              <w:pStyle w:val="null5"/>
              <w:jc w:val="left"/>
            </w:pPr>
            <w:r>
              <w:rPr>
                <w:rFonts w:ascii="仿宋_GB2312" w:hAnsi="仿宋_GB2312" w:cs="仿宋_GB2312" w:eastAsia="仿宋_GB2312"/>
                <w:b/>
              </w:rPr>
              <w:t>1</w:t>
            </w:r>
          </w:p>
        </w:tc>
        <w:tc>
          <w:tcPr>
            <w:tcW w:type="dxa" w:w="2076"/>
          </w:tcPr>
          <w:p>
            <w:pPr>
              <w:pStyle w:val="null5"/>
              <w:jc w:val="left"/>
            </w:pPr>
            <w:r>
              <w:rPr>
                <w:rFonts w:ascii="仿宋_GB2312" w:hAnsi="仿宋_GB2312" w:cs="仿宋_GB2312" w:eastAsia="仿宋_GB2312"/>
                <w:b/>
              </w:rPr>
              <w:t>国际教育学院学生公寓电表系统改造</w:t>
            </w:r>
          </w:p>
        </w:tc>
        <w:tc>
          <w:tcPr>
            <w:tcW w:type="dxa" w:w="2076"/>
          </w:tcPr>
          <w:p>
            <w:pPr>
              <w:pStyle w:val="null5"/>
              <w:jc w:val="left"/>
            </w:pPr>
            <w:r>
              <w:rPr>
                <w:rFonts w:ascii="仿宋_GB2312" w:hAnsi="仿宋_GB2312" w:cs="仿宋_GB2312" w:eastAsia="仿宋_GB2312"/>
                <w:b/>
              </w:rPr>
              <w:t>国际教育学院学生公寓电表系统改造</w:t>
            </w:r>
          </w:p>
        </w:tc>
        <w:tc>
          <w:tcPr>
            <w:tcW w:type="dxa" w:w="415"/>
          </w:tcPr>
          <w:p>
            <w:pPr>
              <w:pStyle w:val="null5"/>
              <w:jc w:val="left"/>
            </w:pPr>
            <w:r>
              <w:rPr>
                <w:rFonts w:ascii="仿宋_GB2312" w:hAnsi="仿宋_GB2312" w:cs="仿宋_GB2312" w:eastAsia="仿宋_GB2312"/>
                <w:b/>
              </w:rPr>
              <w:t>项</w:t>
            </w:r>
          </w:p>
        </w:tc>
        <w:tc>
          <w:tcPr>
            <w:tcW w:type="dxa" w:w="415"/>
          </w:tcPr>
          <w:p>
            <w:pPr>
              <w:pStyle w:val="null5"/>
              <w:jc w:val="left"/>
            </w:pPr>
            <w:r>
              <w:rPr>
                <w:rFonts w:ascii="仿宋_GB2312" w:hAnsi="仿宋_GB2312" w:cs="仿宋_GB2312" w:eastAsia="仿宋_GB2312"/>
                <w:b/>
              </w:rPr>
              <w:t>元</w:t>
            </w:r>
          </w:p>
        </w:tc>
        <w:tc>
          <w:tcPr>
            <w:tcW w:type="dxa" w:w="831"/>
          </w:tcPr>
          <w:p>
            <w:pPr>
              <w:pStyle w:val="null5"/>
              <w:jc w:val="right"/>
            </w:pPr>
            <w:r>
              <w:rPr>
                <w:rFonts w:ascii="仿宋_GB2312" w:hAnsi="仿宋_GB2312" w:cs="仿宋_GB2312" w:eastAsia="仿宋_GB2312"/>
                <w:b/>
              </w:rPr>
              <w:t>298,982.25</w:t>
            </w:r>
          </w:p>
        </w:tc>
        <w:tc>
          <w:tcPr>
            <w:tcW w:type="dxa" w:w="831"/>
          </w:tcPr>
          <w:p>
            <w:pPr>
              <w:pStyle w:val="null5"/>
              <w:jc w:val="left"/>
            </w:pPr>
            <w:r>
              <w:rPr>
                <w:rFonts w:ascii="仿宋_GB2312" w:hAnsi="仿宋_GB2312" w:cs="仿宋_GB2312" w:eastAsia="仿宋_GB2312"/>
                <w:b/>
              </w:rPr>
              <w:t>总价</w:t>
            </w:r>
          </w:p>
        </w:tc>
        <w:tc>
          <w:tcPr>
            <w:tcW w:type="dxa" w:w="1246"/>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标的名称：国际教育学院学生公寓电表系统改造</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采购项目概况</w:t>
            </w:r>
          </w:p>
        </w:tc>
        <w:tc>
          <w:tcPr>
            <w:tcW w:type="dxa" w:w="2076"/>
          </w:tcPr>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泰安校区国际教育学院</w:t>
            </w:r>
            <w:r>
              <w:rPr>
                <w:rFonts w:ascii="仿宋_GB2312" w:hAnsi="仿宋_GB2312" w:cs="仿宋_GB2312" w:eastAsia="仿宋_GB2312"/>
                <w:sz w:val="18"/>
              </w:rPr>
              <w:t>3座学生公寓楼拟进行公寓电表系统恶性负载分类控制升级改造，主要内容包括更换智能电表，敷设线路、安装控制箱等内容。项目完成后保障公寓用电安全，实现智能电表的各项管理传输功能，完成与学校校园一卡通“完美校园”对接。</w:t>
            </w:r>
          </w:p>
          <w:p>
            <w:pPr>
              <w:pStyle w:val="null5"/>
              <w:ind w:firstLine="480"/>
              <w:jc w:val="left"/>
            </w:pPr>
            <w:r>
              <w:rPr>
                <w:rFonts w:ascii="仿宋_GB2312" w:hAnsi="仿宋_GB2312" w:cs="仿宋_GB2312" w:eastAsia="仿宋_GB2312"/>
                <w:sz w:val="18"/>
              </w:rPr>
              <w:t>2、在每个宿舍房间的线路维护口附近（房间门口）新安装双路型智能用电管理器（照明插座一路、热水器一路），包含布线安装和调试，新安装的双路型智能用电管理器，接入升级后的用电管理系统后台和原有的空调回路的智能用电管理器统一管理。本项目要求与原有空调线路的智能用电管理系统进行对接不接受两套或多套系统并行使用的不合理方案。</w:t>
            </w:r>
          </w:p>
          <w:p>
            <w:pPr>
              <w:pStyle w:val="null5"/>
              <w:ind w:firstLine="480"/>
              <w:jc w:val="left"/>
            </w:pPr>
            <w:r>
              <w:rPr>
                <w:rFonts w:ascii="仿宋_GB2312" w:hAnsi="仿宋_GB2312" w:cs="仿宋_GB2312" w:eastAsia="仿宋_GB2312"/>
                <w:sz w:val="18"/>
              </w:rPr>
              <w:t>3、智能用电管理器硬件接口须支持学校现在使用的系统通信协议，确保数据采集器、计量表具等设备与现有设备系统无缝对接，并提交兼容性测试报告。</w:t>
            </w:r>
          </w:p>
          <w:p>
            <w:pPr>
              <w:pStyle w:val="null5"/>
              <w:ind w:firstLine="480"/>
              <w:jc w:val="both"/>
            </w:pPr>
            <w:r>
              <w:rPr>
                <w:rFonts w:ascii="仿宋_GB2312" w:hAnsi="仿宋_GB2312" w:cs="仿宋_GB2312" w:eastAsia="仿宋_GB2312"/>
                <w:sz w:val="18"/>
              </w:rPr>
              <w:t>4、供应商提供所采用的智能用电管理系统对接标准接口的详细技术参数及相关数据，确保该系统能够与现有一卡通“完美校园”APP实现无缝对接。智能用电系统需要免费开放相关接口，若智能用电管理器采用非标准接口或定制接口，在与学校一卡通进行对接时，由此产生的所有费用均由供应商承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系统功能要求</w:t>
            </w:r>
          </w:p>
        </w:tc>
        <w:tc>
          <w:tcPr>
            <w:tcW w:type="dxa" w:w="2076"/>
          </w:tcPr>
          <w:p>
            <w:pPr>
              <w:pStyle w:val="null5"/>
              <w:ind w:firstLine="480"/>
              <w:jc w:val="left"/>
            </w:pPr>
            <w:r>
              <w:rPr>
                <w:rFonts w:ascii="仿宋_GB2312" w:hAnsi="仿宋_GB2312" w:cs="仿宋_GB2312" w:eastAsia="仿宋_GB2312"/>
                <w:sz w:val="18"/>
              </w:rPr>
              <w:t>1、能够查看用电状况：供电情况、使用功率、违规电器使用，发热电器使用、剩余电量、参数远程管控等功能。</w:t>
            </w:r>
          </w:p>
          <w:p>
            <w:pPr>
              <w:pStyle w:val="null5"/>
              <w:ind w:firstLine="480"/>
              <w:jc w:val="left"/>
            </w:pPr>
            <w:r>
              <w:rPr>
                <w:rFonts w:ascii="仿宋_GB2312" w:hAnsi="仿宋_GB2312" w:cs="仿宋_GB2312" w:eastAsia="仿宋_GB2312"/>
                <w:sz w:val="18"/>
              </w:rPr>
              <w:t>2、时间段管控：可对每个宿舍自动断电和供电的时间进行设置，系统支持全天24时间段设置。</w:t>
            </w:r>
          </w:p>
          <w:p>
            <w:pPr>
              <w:pStyle w:val="null5"/>
              <w:ind w:firstLine="480"/>
              <w:jc w:val="left"/>
            </w:pPr>
            <w:r>
              <w:rPr>
                <w:rFonts w:ascii="仿宋_GB2312" w:hAnsi="仿宋_GB2312" w:cs="仿宋_GB2312" w:eastAsia="仿宋_GB2312"/>
                <w:sz w:val="18"/>
              </w:rPr>
              <w:t>3、发热电器识识别功能：每路供电线路均可独立实施发热电器自动识别控制功能，可对发热电器（如电吹风、热得快、电热杯等）实现自动识别控制，发现发热电器自动断电。而超过发热电器功率的电脑等设备不会断电，以此确保每条线路的供电安全。</w:t>
            </w:r>
          </w:p>
          <w:p>
            <w:pPr>
              <w:pStyle w:val="null5"/>
              <w:ind w:firstLine="480"/>
              <w:jc w:val="left"/>
            </w:pPr>
            <w:r>
              <w:rPr>
                <w:rFonts w:ascii="仿宋_GB2312" w:hAnsi="仿宋_GB2312" w:cs="仿宋_GB2312" w:eastAsia="仿宋_GB2312"/>
                <w:sz w:val="18"/>
              </w:rPr>
              <w:t>4、特定使用发热电器学习、识别功能：在不允许其他发热电器使用的情况下，通过读入允许使用的发热电器（学校现在使用的热水器）的相关参数来实现该发热电器的许可使用。</w:t>
            </w:r>
          </w:p>
          <w:p>
            <w:pPr>
              <w:pStyle w:val="null5"/>
              <w:ind w:firstLine="480"/>
              <w:jc w:val="left"/>
            </w:pPr>
            <w:r>
              <w:rPr>
                <w:rFonts w:ascii="仿宋_GB2312" w:hAnsi="仿宋_GB2312" w:cs="仿宋_GB2312" w:eastAsia="仿宋_GB2312"/>
                <w:sz w:val="18"/>
              </w:rPr>
              <w:t>5、定时管控功能：统一对宿舍内用电进行定时管控（实现宿舍内三路用电统一管控），一路照明插座线路，一路热水器插座线路，另外一路空调插座线路，要求按照学校管理时间自动送电和断电。</w:t>
            </w:r>
          </w:p>
          <w:p>
            <w:pPr>
              <w:pStyle w:val="null5"/>
              <w:ind w:firstLine="480"/>
              <w:jc w:val="left"/>
            </w:pPr>
            <w:r>
              <w:rPr>
                <w:rFonts w:ascii="仿宋_GB2312" w:hAnsi="仿宋_GB2312" w:cs="仿宋_GB2312" w:eastAsia="仿宋_GB2312"/>
                <w:sz w:val="18"/>
              </w:rPr>
              <w:t>6、远程监控：实现各个校区对全校设备实现实时远程监控和管控，即可实施远程设置、远程查看工作状态、违规记录和远程开关房间电源。</w:t>
            </w:r>
          </w:p>
          <w:p>
            <w:pPr>
              <w:pStyle w:val="null5"/>
              <w:ind w:firstLine="480"/>
              <w:jc w:val="left"/>
            </w:pPr>
            <w:r>
              <w:rPr>
                <w:rFonts w:ascii="仿宋_GB2312" w:hAnsi="仿宋_GB2312" w:cs="仿宋_GB2312" w:eastAsia="仿宋_GB2312"/>
                <w:sz w:val="18"/>
              </w:rPr>
              <w:t>7、预付费电表功能：每个宿舍实施单独计量，电量用完时将自动断电。</w:t>
            </w:r>
          </w:p>
          <w:p>
            <w:pPr>
              <w:pStyle w:val="null5"/>
              <w:ind w:firstLine="480"/>
              <w:jc w:val="left"/>
            </w:pPr>
            <w:r>
              <w:rPr>
                <w:rFonts w:ascii="仿宋_GB2312" w:hAnsi="仿宋_GB2312" w:cs="仿宋_GB2312" w:eastAsia="仿宋_GB2312"/>
                <w:sz w:val="18"/>
              </w:rPr>
              <w:t>8、基础免费电量批量：系统远程可将每栋楼、每层楼、多个房间的免费电量进行远程批量设置。</w:t>
            </w:r>
          </w:p>
          <w:p>
            <w:pPr>
              <w:pStyle w:val="null5"/>
              <w:ind w:firstLine="480"/>
              <w:jc w:val="left"/>
            </w:pPr>
            <w:r>
              <w:rPr>
                <w:rFonts w:ascii="仿宋_GB2312" w:hAnsi="仿宋_GB2312" w:cs="仿宋_GB2312" w:eastAsia="仿宋_GB2312"/>
                <w:sz w:val="18"/>
              </w:rPr>
              <w:t>9、退费管理：可将宿舍剩余电量进行退电（退费）管理。</w:t>
            </w:r>
          </w:p>
          <w:p>
            <w:pPr>
              <w:pStyle w:val="null5"/>
              <w:ind w:firstLine="480"/>
              <w:jc w:val="left"/>
            </w:pPr>
            <w:r>
              <w:rPr>
                <w:rFonts w:ascii="仿宋_GB2312" w:hAnsi="仿宋_GB2312" w:cs="仿宋_GB2312" w:eastAsia="仿宋_GB2312"/>
                <w:sz w:val="18"/>
              </w:rPr>
              <w:t>10、报表功能：可根据查询、统计结果、打印各种报表。</w:t>
            </w:r>
          </w:p>
          <w:p>
            <w:pPr>
              <w:pStyle w:val="null5"/>
              <w:ind w:firstLine="480"/>
              <w:jc w:val="left"/>
            </w:pPr>
            <w:r>
              <w:rPr>
                <w:rFonts w:ascii="仿宋_GB2312" w:hAnsi="仿宋_GB2312" w:cs="仿宋_GB2312" w:eastAsia="仿宋_GB2312"/>
                <w:sz w:val="18"/>
              </w:rPr>
              <w:t>11、每条供电线路均可实现总用电负荷设置：管理者根据需要对各房间的用电总负荷进行设置，超出设置范围将自动断电。</w:t>
            </w:r>
          </w:p>
          <w:p>
            <w:pPr>
              <w:pStyle w:val="null5"/>
              <w:ind w:firstLine="480"/>
              <w:jc w:val="left"/>
            </w:pPr>
            <w:r>
              <w:rPr>
                <w:rFonts w:ascii="仿宋_GB2312" w:hAnsi="仿宋_GB2312" w:cs="仿宋_GB2312" w:eastAsia="仿宋_GB2312"/>
                <w:sz w:val="18"/>
              </w:rPr>
              <w:t>12、增加系统故障轮巡功能，无需学生上报，系统可自动获取电表故障信息，及时发现隐患并维修，提高学生满意度；</w:t>
            </w:r>
          </w:p>
          <w:p>
            <w:pPr>
              <w:pStyle w:val="null5"/>
              <w:ind w:firstLine="480"/>
              <w:jc w:val="left"/>
            </w:pPr>
            <w:r>
              <w:rPr>
                <w:rFonts w:ascii="仿宋_GB2312" w:hAnsi="仿宋_GB2312" w:cs="仿宋_GB2312" w:eastAsia="仿宋_GB2312"/>
                <w:sz w:val="18"/>
              </w:rPr>
              <w:t>13、电费缴纳功能：升级移动端缴纳电费，接入学校一卡通缴费系统，学生使用手机自助缴纳电费，查询电量等功能。</w:t>
            </w:r>
          </w:p>
          <w:p>
            <w:pPr>
              <w:pStyle w:val="null5"/>
              <w:ind w:firstLine="480"/>
              <w:jc w:val="left"/>
            </w:pPr>
            <w:r>
              <w:rPr>
                <w:rFonts w:ascii="仿宋_GB2312" w:hAnsi="仿宋_GB2312" w:cs="仿宋_GB2312" w:eastAsia="仿宋_GB2312"/>
                <w:sz w:val="18"/>
              </w:rPr>
              <w:t>14.安全节能管控：支持和智能门锁配套联动，支持人来有电，人走电断节能安全管控。学生合法开锁后，智能用电管理器对室内送电；室外锁门后自动对室内设备进行断电，人走电断可通过软件设置。</w:t>
            </w:r>
          </w:p>
          <w:p>
            <w:pPr>
              <w:pStyle w:val="null5"/>
              <w:ind w:firstLine="480"/>
              <w:jc w:val="both"/>
            </w:pPr>
            <w:r>
              <w:rPr>
                <w:rFonts w:ascii="仿宋_GB2312" w:hAnsi="仿宋_GB2312" w:cs="仿宋_GB2312" w:eastAsia="仿宋_GB2312"/>
                <w:sz w:val="18"/>
              </w:rPr>
              <w:t>15、在线升级功能：在有新的功能需要加入的情况下，可对硬件进行在线升级无需对电表进行更换，通过对电表进行升级即可完成。</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系统组成</w:t>
            </w:r>
          </w:p>
        </w:tc>
        <w:tc>
          <w:tcPr>
            <w:tcW w:type="dxa" w:w="2076"/>
          </w:tcPr>
          <w:p>
            <w:pPr>
              <w:pStyle w:val="null5"/>
              <w:ind w:firstLine="480"/>
              <w:jc w:val="left"/>
            </w:pPr>
            <w:r>
              <w:rPr>
                <w:rFonts w:ascii="仿宋_GB2312" w:hAnsi="仿宋_GB2312" w:cs="仿宋_GB2312" w:eastAsia="仿宋_GB2312"/>
                <w:sz w:val="18"/>
              </w:rPr>
              <w:t>电控系统由智能用电管理器、用电管理系统软件、智能用电管理器与供电线路连接配线、网络通讯设施等组成。</w:t>
            </w:r>
          </w:p>
          <w:p>
            <w:pPr>
              <w:pStyle w:val="null5"/>
              <w:ind w:firstLine="480"/>
              <w:jc w:val="left"/>
            </w:pPr>
            <w:r>
              <w:rPr>
                <w:rFonts w:ascii="仿宋_GB2312" w:hAnsi="仿宋_GB2312" w:cs="仿宋_GB2312" w:eastAsia="仿宋_GB2312"/>
                <w:sz w:val="18"/>
              </w:rPr>
              <w:t>采用多线程分布技术，支持多种联机模式；与现使用的电管理系统能无缝对接，在同一个管理平台下运行。</w:t>
            </w:r>
          </w:p>
          <w:p>
            <w:pPr>
              <w:pStyle w:val="null5"/>
              <w:ind w:firstLine="480"/>
              <w:jc w:val="left"/>
            </w:pPr>
            <w:r>
              <w:rPr>
                <w:rFonts w:ascii="仿宋_GB2312" w:hAnsi="仿宋_GB2312" w:cs="仿宋_GB2312" w:eastAsia="仿宋_GB2312"/>
                <w:sz w:val="18"/>
              </w:rPr>
              <w:t>1、采用RS485专网通讯或TCP/IP协议利用校园网通讯，可实现远程网络输送电量。</w:t>
            </w:r>
          </w:p>
          <w:p>
            <w:pPr>
              <w:pStyle w:val="null5"/>
              <w:ind w:firstLine="480"/>
              <w:jc w:val="left"/>
            </w:pPr>
            <w:r>
              <w:rPr>
                <w:rFonts w:ascii="仿宋_GB2312" w:hAnsi="仿宋_GB2312" w:cs="仿宋_GB2312" w:eastAsia="仿宋_GB2312"/>
                <w:sz w:val="18"/>
              </w:rPr>
              <w:t>2、智能用电管理器为一进两出供电控制模式，某一路使用违规电器断电，不会影响另一路用电。</w:t>
            </w:r>
          </w:p>
          <w:p>
            <w:pPr>
              <w:pStyle w:val="null5"/>
              <w:ind w:firstLine="480"/>
              <w:jc w:val="left"/>
            </w:pPr>
            <w:r>
              <w:rPr>
                <w:rFonts w:ascii="仿宋_GB2312" w:hAnsi="仿宋_GB2312" w:cs="仿宋_GB2312" w:eastAsia="仿宋_GB2312"/>
                <w:sz w:val="18"/>
              </w:rPr>
              <w:t>3、智能用电管理器采用分布安装到每间宿舍门口，通过RS485通讯线将其连接，并与局域网相连，使用电脑或手机能够实现远程管理。</w:t>
            </w:r>
          </w:p>
          <w:p>
            <w:pPr>
              <w:pStyle w:val="null5"/>
              <w:ind w:firstLine="480"/>
              <w:jc w:val="left"/>
            </w:pPr>
            <w:r>
              <w:rPr>
                <w:rFonts w:ascii="仿宋_GB2312" w:hAnsi="仿宋_GB2312" w:cs="仿宋_GB2312" w:eastAsia="仿宋_GB2312"/>
                <w:sz w:val="18"/>
              </w:rPr>
              <w:t>4、通讯线需采用防雷装置，当通讯线路中因为外界的干扰突然产生尖峰或高电压时，能在极短的时间内分流从而避免浪涌对回路中设备的损害。</w:t>
            </w:r>
          </w:p>
          <w:p>
            <w:pPr>
              <w:pStyle w:val="null5"/>
              <w:ind w:firstLine="480"/>
              <w:jc w:val="left"/>
            </w:pPr>
            <w:r>
              <w:rPr>
                <w:rFonts w:ascii="仿宋_GB2312" w:hAnsi="仿宋_GB2312" w:cs="仿宋_GB2312" w:eastAsia="仿宋_GB2312"/>
                <w:sz w:val="18"/>
              </w:rPr>
              <w:t>5、可根据实际宿舍数灵活组合、分级管理、统一维护，实现安装、使用、维护简单方便，使普通维护人员或电工即可实施更换与维护。</w:t>
            </w:r>
          </w:p>
          <w:p>
            <w:pPr>
              <w:pStyle w:val="null5"/>
              <w:ind w:firstLine="480"/>
              <w:jc w:val="both"/>
            </w:pPr>
            <w:r>
              <w:rPr>
                <w:rFonts w:ascii="仿宋_GB2312" w:hAnsi="仿宋_GB2312" w:cs="仿宋_GB2312" w:eastAsia="仿宋_GB2312"/>
                <w:sz w:val="18"/>
              </w:rPr>
              <w:t>6、系统具有高可靠性、灵敏性、安全性和可扩展性。</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设备要求</w:t>
            </w:r>
          </w:p>
        </w:tc>
        <w:tc>
          <w:tcPr>
            <w:tcW w:type="dxa" w:w="2076"/>
          </w:tcPr>
          <w:p>
            <w:pPr>
              <w:pStyle w:val="null5"/>
              <w:ind w:firstLine="480"/>
              <w:jc w:val="left"/>
            </w:pPr>
            <w:r>
              <w:rPr>
                <w:rFonts w:ascii="仿宋_GB2312" w:hAnsi="仿宋_GB2312" w:cs="仿宋_GB2312" w:eastAsia="仿宋_GB2312"/>
                <w:sz w:val="18"/>
              </w:rPr>
              <w:t>1、智能用电管理器必须是独立结构设计，采用一路进线两路输出控制，每块设备均带有LCD显示和独立通讯网口。</w:t>
            </w:r>
          </w:p>
          <w:p>
            <w:pPr>
              <w:pStyle w:val="null5"/>
              <w:ind w:firstLine="480"/>
              <w:jc w:val="left"/>
            </w:pPr>
            <w:r>
              <w:rPr>
                <w:rFonts w:ascii="仿宋_GB2312" w:hAnsi="仿宋_GB2312" w:cs="仿宋_GB2312" w:eastAsia="仿宋_GB2312"/>
                <w:sz w:val="18"/>
              </w:rPr>
              <w:t>2、每宿舍一台独立的智能用电管理器，其数据采集、能耗计量、安全控制、数据存储、数据通讯、电源供电等部件或电路均集成在该电表壳内。</w:t>
            </w:r>
          </w:p>
          <w:p>
            <w:pPr>
              <w:pStyle w:val="null5"/>
              <w:ind w:firstLine="480"/>
              <w:jc w:val="left"/>
            </w:pPr>
            <w:r>
              <w:rPr>
                <w:rFonts w:ascii="仿宋_GB2312" w:hAnsi="仿宋_GB2312" w:cs="仿宋_GB2312" w:eastAsia="仿宋_GB2312"/>
                <w:sz w:val="18"/>
              </w:rPr>
              <w:t>3、智能用电管理器可以独立工作，互不影响，在无后台管理系统的支持下，可分别检测和控制违规用电和自动断电、上电，后台管理系统可通过网络加强对智能用电管理器的管理和控制。</w:t>
            </w:r>
          </w:p>
          <w:p>
            <w:pPr>
              <w:pStyle w:val="null5"/>
              <w:ind w:firstLine="480"/>
              <w:jc w:val="left"/>
            </w:pPr>
            <w:r>
              <w:rPr>
                <w:rFonts w:ascii="仿宋_GB2312" w:hAnsi="仿宋_GB2312" w:cs="仿宋_GB2312" w:eastAsia="仿宋_GB2312"/>
                <w:sz w:val="18"/>
              </w:rPr>
              <w:t>4、通讯网管器，对现有通讯网管器进行更换升级，对原有的各个批次智能用电管理器和新增智能用电管理器进行统一管理。</w:t>
            </w:r>
          </w:p>
          <w:p>
            <w:pPr>
              <w:pStyle w:val="null5"/>
              <w:ind w:firstLine="480"/>
              <w:jc w:val="left"/>
            </w:pPr>
            <w:r>
              <w:rPr>
                <w:rFonts w:ascii="仿宋_GB2312" w:hAnsi="仿宋_GB2312" w:cs="仿宋_GB2312" w:eastAsia="仿宋_GB2312"/>
                <w:sz w:val="18"/>
              </w:rPr>
              <w:t>设备供电宽电压输入：</w:t>
            </w:r>
            <w:r>
              <w:rPr>
                <w:rFonts w:ascii="仿宋_GB2312" w:hAnsi="仿宋_GB2312" w:cs="仿宋_GB2312" w:eastAsia="仿宋_GB2312"/>
                <w:sz w:val="18"/>
              </w:rPr>
              <w:t>9-28V。</w:t>
            </w:r>
          </w:p>
          <w:p>
            <w:pPr>
              <w:pStyle w:val="null5"/>
              <w:ind w:firstLine="480"/>
              <w:jc w:val="left"/>
            </w:pPr>
            <w:r>
              <w:rPr>
                <w:rFonts w:ascii="仿宋_GB2312" w:hAnsi="仿宋_GB2312" w:cs="仿宋_GB2312" w:eastAsia="仿宋_GB2312"/>
                <w:sz w:val="18"/>
              </w:rPr>
              <w:t>组网模式：对上位机</w:t>
            </w:r>
            <w:r>
              <w:rPr>
                <w:rFonts w:ascii="仿宋_GB2312" w:hAnsi="仿宋_GB2312" w:cs="仿宋_GB2312" w:eastAsia="仿宋_GB2312"/>
                <w:sz w:val="18"/>
              </w:rPr>
              <w:t>4G无线组网同时兼容以太网联网，自动连接到服务器，不受校园网覆盖影响。和智能用电管理器通讯采用485通讯，能对学校原有的智能用电管理器和新安装的智能用电管理器同时并网管理。</w:t>
            </w:r>
          </w:p>
          <w:p>
            <w:pPr>
              <w:pStyle w:val="null5"/>
              <w:ind w:firstLine="480"/>
              <w:jc w:val="left"/>
            </w:pPr>
            <w:r>
              <w:rPr>
                <w:rFonts w:ascii="仿宋_GB2312" w:hAnsi="仿宋_GB2312" w:cs="仿宋_GB2312" w:eastAsia="仿宋_GB2312"/>
                <w:sz w:val="18"/>
              </w:rPr>
              <w:t>数据处理：网管器自带系统，自动实时采集智能用电管理器信息，当服务器出现或网络出现故障后对智能用电管理器数据进行缓存，数据存储，数据自动管理。网络连通后自动上传缓存的数据。</w:t>
            </w:r>
          </w:p>
          <w:p>
            <w:pPr>
              <w:pStyle w:val="null5"/>
              <w:ind w:firstLine="480"/>
              <w:jc w:val="left"/>
            </w:pPr>
            <w:r>
              <w:rPr>
                <w:rFonts w:ascii="仿宋_GB2312" w:hAnsi="仿宋_GB2312" w:cs="仿宋_GB2312" w:eastAsia="仿宋_GB2312"/>
                <w:sz w:val="18"/>
              </w:rPr>
              <w:t>设备轮询功能：自动实时采集智能用电管理器状态，对于出现故障的用电管理器上传到服务器或手机端。</w:t>
            </w:r>
          </w:p>
          <w:p>
            <w:pPr>
              <w:pStyle w:val="null5"/>
              <w:ind w:firstLine="480"/>
              <w:jc w:val="both"/>
            </w:pPr>
            <w:r>
              <w:rPr>
                <w:rFonts w:ascii="仿宋_GB2312" w:hAnsi="仿宋_GB2312" w:cs="仿宋_GB2312" w:eastAsia="仿宋_GB2312"/>
                <w:sz w:val="18"/>
              </w:rPr>
              <w:t>通讯接口：以太网、</w:t>
            </w:r>
            <w:r>
              <w:rPr>
                <w:rFonts w:ascii="仿宋_GB2312" w:hAnsi="仿宋_GB2312" w:cs="仿宋_GB2312" w:eastAsia="仿宋_GB2312"/>
                <w:sz w:val="18"/>
              </w:rPr>
              <w:t>485。</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设备安装拓扑图</w:t>
            </w:r>
          </w:p>
        </w:tc>
        <w:tc>
          <w:tcPr>
            <w:tcW w:type="dxa" w:w="2076"/>
          </w:tcPr>
          <w:p>
            <w:pPr>
              <w:pStyle w:val="null5"/>
              <w:ind w:firstLine="480"/>
              <w:jc w:val="both"/>
            </w:pPr>
            <w:r>
              <w:rPr>
                <w:rFonts w:ascii="仿宋_GB2312" w:hAnsi="仿宋_GB2312" w:cs="仿宋_GB2312" w:eastAsia="仿宋_GB2312"/>
                <w:sz w:val="18"/>
              </w:rPr>
              <w:t>详见磋商文件附件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报价要求</w:t>
            </w:r>
          </w:p>
        </w:tc>
        <w:tc>
          <w:tcPr>
            <w:tcW w:type="dxa" w:w="2076"/>
          </w:tcPr>
          <w:p>
            <w:pPr>
              <w:pStyle w:val="null5"/>
              <w:ind w:firstLine="480"/>
              <w:jc w:val="both"/>
            </w:pPr>
            <w:r>
              <w:rPr>
                <w:rFonts w:ascii="仿宋_GB2312" w:hAnsi="仿宋_GB2312" w:cs="仿宋_GB2312" w:eastAsia="仿宋_GB2312"/>
                <w:sz w:val="18"/>
              </w:rPr>
              <w:t>报价包含工程量清单范围内所有工程内容的施工及其保修，应包括为完成本项目工作要求而发生的全部费用。</w:t>
            </w:r>
          </w:p>
          <w:p>
            <w:pPr>
              <w:pStyle w:val="null5"/>
              <w:ind w:firstLine="480"/>
              <w:jc w:val="both"/>
            </w:pPr>
            <w:r>
              <w:rPr>
                <w:rFonts w:ascii="仿宋_GB2312" w:hAnsi="仿宋_GB2312" w:cs="仿宋_GB2312" w:eastAsia="仿宋_GB2312"/>
                <w:sz w:val="18"/>
              </w:rPr>
              <w:t>本工程采用固定综合单价报价方式，工程数量按实际发生进行结算。供应商应依据市场行情价、施工现场状况及本单位具体情况编制，除非合同中另有规定，供应商所报价格均包括：维护费、临时工程与设施、驻地建设费用、劳务、材料（含主材）、装卸、机械、质检（自检）、安装、检测（含第三方检测费）、调试、设备及系统对接、试验、施工现场及周边社会关系协调费、各项措施费用、缺陷修复、管理、保险、利润、安全施工费、专利技术和特殊工艺、维护及保养、质保、规费、税费、政策性文件规定、材料试验费、采购代理费等合同明示或暗示的所有责任、义务、风险。</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清单</w:t>
            </w:r>
          </w:p>
        </w:tc>
        <w:tc>
          <w:tcPr>
            <w:tcW w:type="dxa" w:w="2076"/>
          </w:tcPr>
          <w:p>
            <w:pPr>
              <w:pStyle w:val="null5"/>
              <w:jc w:val="left"/>
            </w:pPr>
            <w:r>
              <w:rPr>
                <w:rFonts w:ascii="仿宋_GB2312" w:hAnsi="仿宋_GB2312" w:cs="仿宋_GB2312" w:eastAsia="仿宋_GB2312"/>
              </w:rPr>
              <w:t>详见磋商文件附件</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标包计划工期</w:t>
            </w:r>
          </w:p>
        </w:tc>
        <w:tc>
          <w:tcPr>
            <w:tcW w:type="dxa" w:w="2076"/>
          </w:tcPr>
          <w:p>
            <w:pPr>
              <w:pStyle w:val="null5"/>
              <w:ind w:firstLine="480"/>
              <w:jc w:val="both"/>
            </w:pPr>
            <w:r>
              <w:rPr>
                <w:rFonts w:ascii="仿宋_GB2312" w:hAnsi="仿宋_GB2312" w:cs="仿宋_GB2312" w:eastAsia="仿宋_GB2312"/>
                <w:sz w:val="18"/>
              </w:rPr>
              <w:t>30日历日，以合同签订工期要求及采购人通知开竣工日期为准</w:t>
            </w:r>
            <w:r>
              <w:rPr>
                <w:rFonts w:ascii="仿宋_GB2312" w:hAnsi="仿宋_GB2312" w:cs="仿宋_GB2312" w:eastAsia="仿宋_GB2312"/>
                <w:sz w:val="18"/>
              </w:rPr>
              <w:t>。</w:t>
            </w:r>
          </w:p>
          <w:p>
            <w:pPr>
              <w:pStyle w:val="null5"/>
              <w:ind w:firstLine="480"/>
              <w:jc w:val="both"/>
            </w:pPr>
            <w:r>
              <w:rPr>
                <w:rFonts w:ascii="仿宋_GB2312" w:hAnsi="仿宋_GB2312" w:cs="仿宋_GB2312" w:eastAsia="仿宋_GB2312"/>
                <w:sz w:val="18"/>
              </w:rPr>
              <w:t>注：（</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合同工期内所有施工项目全部完成，垃圾全部清理完毕，卫生打扫干净，</w:t>
            </w:r>
            <w:r>
              <w:rPr>
                <w:rFonts w:ascii="仿宋_GB2312" w:hAnsi="仿宋_GB2312" w:cs="仿宋_GB2312" w:eastAsia="仿宋_GB2312"/>
                <w:sz w:val="18"/>
              </w:rPr>
              <w:t>通过</w:t>
            </w:r>
            <w:r>
              <w:rPr>
                <w:rFonts w:ascii="仿宋_GB2312" w:hAnsi="仿宋_GB2312" w:cs="仿宋_GB2312" w:eastAsia="仿宋_GB2312"/>
                <w:sz w:val="18"/>
              </w:rPr>
              <w:t>甲方</w:t>
            </w:r>
            <w:r>
              <w:rPr>
                <w:rFonts w:ascii="仿宋_GB2312" w:hAnsi="仿宋_GB2312" w:cs="仿宋_GB2312" w:eastAsia="仿宋_GB2312"/>
                <w:sz w:val="18"/>
              </w:rPr>
              <w:t>组织的验收，满足</w:t>
            </w:r>
            <w:r>
              <w:rPr>
                <w:rFonts w:ascii="仿宋_GB2312" w:hAnsi="仿宋_GB2312" w:cs="仿宋_GB2312" w:eastAsia="仿宋_GB2312"/>
                <w:sz w:val="18"/>
              </w:rPr>
              <w:t>甲方</w:t>
            </w:r>
            <w:r>
              <w:rPr>
                <w:rFonts w:ascii="仿宋_GB2312" w:hAnsi="仿宋_GB2312" w:cs="仿宋_GB2312" w:eastAsia="仿宋_GB2312"/>
                <w:sz w:val="18"/>
              </w:rPr>
              <w:t>使用需求。</w:t>
            </w:r>
            <w:r>
              <w:rPr>
                <w:rFonts w:ascii="仿宋_GB2312" w:hAnsi="仿宋_GB2312" w:cs="仿宋_GB2312" w:eastAsia="仿宋_GB2312"/>
                <w:sz w:val="18"/>
              </w:rPr>
              <w:t>（</w:t>
            </w:r>
            <w:r>
              <w:rPr>
                <w:rFonts w:ascii="仿宋_GB2312" w:hAnsi="仿宋_GB2312" w:cs="仿宋_GB2312" w:eastAsia="仿宋_GB2312"/>
                <w:sz w:val="18"/>
              </w:rPr>
              <w:t>2）本项目时间紧、任务重，乙方满足工期要求的前提下，须保证安全施工，保证项目安全生产约定零死亡、零重伤、零中毒、零火灾、零重大机械设备安全事故；（3）甲、乙双方在确定合同日期及各控制节点工期时已充分考虑雨雪、冰雹等异常天气及各类考试、创建国家文明（卫生）城市等特殊原因，也已考虑停水、停电、节假日、道路施工影响等不利因素，乙方不得因以上理由提出延长工期和费用索赔。（4）在合同工期内不能按竞争性磋商文件要求完成项目施工的，除承担合同约定的相应处罚外，甲方将按《中华人民共和国政府采购法》等相关法律法规规定对乙方作出处理。（5）本项目对工期要求较高，要求即时施工、夜间施工、交叉施工等情况。</w:t>
            </w:r>
          </w:p>
        </w:tc>
      </w:tr>
      <w:tr>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质量要求</w:t>
            </w:r>
          </w:p>
        </w:tc>
        <w:tc>
          <w:tcPr>
            <w:tcW w:type="dxa" w:w="2076"/>
          </w:tcPr>
          <w:p>
            <w:pPr>
              <w:pStyle w:val="null5"/>
              <w:ind w:firstLine="480"/>
              <w:jc w:val="both"/>
            </w:pPr>
            <w:r>
              <w:rPr>
                <w:rFonts w:ascii="仿宋_GB2312" w:hAnsi="仿宋_GB2312" w:cs="仿宋_GB2312" w:eastAsia="仿宋_GB2312"/>
                <w:sz w:val="18"/>
              </w:rPr>
              <w:t>符合国家现行质量验收规范，达到合格标准。</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主要材料要求</w:t>
            </w:r>
          </w:p>
        </w:tc>
        <w:tc>
          <w:tcPr>
            <w:tcW w:type="dxa" w:w="2076"/>
          </w:tcPr>
          <w:p>
            <w:pPr>
              <w:pStyle w:val="null5"/>
              <w:ind w:firstLine="480"/>
              <w:jc w:val="both"/>
            </w:pPr>
            <w:r>
              <w:rPr>
                <w:rFonts w:ascii="仿宋_GB2312" w:hAnsi="仿宋_GB2312" w:cs="仿宋_GB2312" w:eastAsia="仿宋_GB2312"/>
                <w:sz w:val="18"/>
              </w:rPr>
              <w:t>详见磋商文件附件。</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其他要求</w:t>
            </w:r>
          </w:p>
        </w:tc>
        <w:tc>
          <w:tcPr>
            <w:tcW w:type="dxa" w:w="2076"/>
          </w:tcPr>
          <w:p>
            <w:pPr>
              <w:pStyle w:val="null5"/>
              <w:ind w:firstLine="480"/>
              <w:jc w:val="left"/>
            </w:pPr>
            <w:r>
              <w:rPr>
                <w:rFonts w:ascii="仿宋_GB2312" w:hAnsi="仿宋_GB2312" w:cs="仿宋_GB2312" w:eastAsia="仿宋_GB2312"/>
                <w:sz w:val="18"/>
              </w:rPr>
              <w:t>1、供应商应提供所用智能用电管理器（含电表、控制器等）的技术协议，包括但不限于设备规格、性能参数、通信协议、安全标准等详细文档，并配合学校完成网络系统建设，提供技术指导、设备调试及人员培训服务，确保系统稳定运行。</w:t>
            </w:r>
          </w:p>
          <w:p>
            <w:pPr>
              <w:pStyle w:val="null5"/>
              <w:ind w:firstLine="480"/>
              <w:jc w:val="left"/>
            </w:pPr>
            <w:r>
              <w:rPr>
                <w:rFonts w:ascii="仿宋_GB2312" w:hAnsi="仿宋_GB2312" w:cs="仿宋_GB2312" w:eastAsia="仿宋_GB2312"/>
                <w:sz w:val="18"/>
              </w:rPr>
              <w:t>2、智能用电系统应充分考虑紧急情况（停电、网络故障等）可能会对电量充值功能造成的影响，并提供断网状态下充电缴费等应急预案，确保基本用电需求不受影响。</w:t>
            </w:r>
          </w:p>
          <w:p>
            <w:pPr>
              <w:pStyle w:val="null5"/>
              <w:ind w:firstLine="480"/>
              <w:jc w:val="left"/>
            </w:pPr>
            <w:r>
              <w:rPr>
                <w:rFonts w:ascii="仿宋_GB2312" w:hAnsi="仿宋_GB2312" w:cs="仿宋_GB2312" w:eastAsia="仿宋_GB2312"/>
                <w:sz w:val="18"/>
              </w:rPr>
              <w:t>3</w:t>
            </w:r>
            <w:r>
              <w:rPr>
                <w:rFonts w:ascii="仿宋_GB2312" w:hAnsi="仿宋_GB2312" w:cs="仿宋_GB2312" w:eastAsia="仿宋_GB2312"/>
                <w:sz w:val="18"/>
              </w:rPr>
              <w:t>、除另有约定外，供应商负责完成本项目施工所需的材料、设备的采购、检测验收、运输和保管。但供应商采购的材料、设备需经采购人认可后方可采购，在进场前采购人有权要求供应商对所采购材料、设备送检测机构进行检测或者测试，对于检测不合格的材料、设备，采购人有权拒绝并要求供应商更换合格材料、设备，由此给采购人造成的损失由供应商负责。无论经检测或者测试是否合格，所发生的全部费用皆由供应商承担。主要材料均采用正规厂家合格产品，在环境保护方面，必须使用国家和山东省等有关标准材料，并符合国家相关规范和标准要求。</w:t>
            </w:r>
          </w:p>
          <w:p>
            <w:pPr>
              <w:pStyle w:val="null5"/>
              <w:ind w:firstLine="480"/>
              <w:jc w:val="left"/>
            </w:pPr>
            <w:r>
              <w:rPr>
                <w:rFonts w:ascii="仿宋_GB2312" w:hAnsi="仿宋_GB2312" w:cs="仿宋_GB2312" w:eastAsia="仿宋_GB2312"/>
                <w:sz w:val="18"/>
              </w:rPr>
              <w:t>4</w:t>
            </w:r>
            <w:r>
              <w:rPr>
                <w:rFonts w:ascii="仿宋_GB2312" w:hAnsi="仿宋_GB2312" w:cs="仿宋_GB2312" w:eastAsia="仿宋_GB2312"/>
                <w:sz w:val="18"/>
              </w:rPr>
              <w:t>、本项目供应商成交后由企业法定代表人（或授权代表人）前往采购人单位与采购人签订合同。</w:t>
            </w:r>
          </w:p>
          <w:p>
            <w:pPr>
              <w:pStyle w:val="null5"/>
              <w:ind w:firstLine="480"/>
              <w:jc w:val="left"/>
            </w:pPr>
            <w:r>
              <w:rPr>
                <w:rFonts w:ascii="仿宋_GB2312" w:hAnsi="仿宋_GB2312" w:cs="仿宋_GB2312" w:eastAsia="仿宋_GB2312"/>
                <w:sz w:val="18"/>
              </w:rPr>
              <w:t>5</w:t>
            </w:r>
            <w:r>
              <w:rPr>
                <w:rFonts w:ascii="仿宋_GB2312" w:hAnsi="仿宋_GB2312" w:cs="仿宋_GB2312" w:eastAsia="仿宋_GB2312"/>
                <w:sz w:val="18"/>
              </w:rPr>
              <w:t>、企业项目负责人必须在岗履职，每日巡查安全生产情况，危大工程等关键节点施工时必须到场指挥监督，严格落实项目负责人责任，其他人员保证施工时间全时在位，现场驻守管理人员及专业技术人员须无违法犯罪记录。</w:t>
            </w:r>
          </w:p>
          <w:p>
            <w:pPr>
              <w:pStyle w:val="null5"/>
              <w:jc w:val="left"/>
            </w:pPr>
            <w:r>
              <w:rPr>
                <w:rFonts w:ascii="仿宋_GB2312" w:hAnsi="仿宋_GB2312" w:cs="仿宋_GB2312" w:eastAsia="仿宋_GB2312"/>
                <w:sz w:val="18"/>
              </w:rPr>
              <w:t>6、供应商应合理配置项目管理班子和现场专业人员，各岗位人员具备相应管理、技术等能力，确保工作成果质量、工程质量和施工安全，并在施工过程中服从采购人的现场管理。</w:t>
            </w:r>
          </w:p>
          <w:p>
            <w:pPr>
              <w:pStyle w:val="null5"/>
              <w:ind w:firstLine="480"/>
              <w:jc w:val="left"/>
            </w:pPr>
            <w:r>
              <w:rPr>
                <w:rFonts w:ascii="仿宋_GB2312" w:hAnsi="仿宋_GB2312" w:cs="仿宋_GB2312" w:eastAsia="仿宋_GB2312"/>
                <w:sz w:val="18"/>
              </w:rPr>
              <w:t>7</w:t>
            </w:r>
            <w:r>
              <w:rPr>
                <w:rFonts w:ascii="仿宋_GB2312" w:hAnsi="仿宋_GB2312" w:cs="仿宋_GB2312" w:eastAsia="仿宋_GB2312"/>
                <w:sz w:val="18"/>
              </w:rPr>
              <w:t>、严禁供应商在招投标活动中进行转包、违法分包、围标串标、</w:t>
            </w:r>
            <w:r>
              <w:rPr>
                <w:rFonts w:ascii="仿宋_GB2312" w:hAnsi="仿宋_GB2312" w:cs="仿宋_GB2312" w:eastAsia="仿宋_GB2312"/>
                <w:sz w:val="18"/>
              </w:rPr>
              <w:t>挂靠出借资质等违法行为，一经发现认定将从速顶格处罚。</w:t>
            </w:r>
          </w:p>
          <w:p>
            <w:pPr>
              <w:pStyle w:val="null5"/>
              <w:ind w:firstLine="480"/>
              <w:jc w:val="left"/>
            </w:pPr>
            <w:r>
              <w:rPr>
                <w:rFonts w:ascii="仿宋_GB2312" w:hAnsi="仿宋_GB2312" w:cs="仿宋_GB2312" w:eastAsia="仿宋_GB2312"/>
                <w:sz w:val="18"/>
              </w:rPr>
              <w:t>8</w:t>
            </w:r>
            <w:r>
              <w:rPr>
                <w:rFonts w:ascii="仿宋_GB2312" w:hAnsi="仿宋_GB2312" w:cs="仿宋_GB2312" w:eastAsia="仿宋_GB2312"/>
                <w:sz w:val="18"/>
              </w:rPr>
              <w:t>、成交供应商必须做到安全生产、文明施工，严格按照当地建设行政主管部门有关规定执行。</w:t>
            </w:r>
          </w:p>
          <w:p>
            <w:pPr>
              <w:pStyle w:val="null5"/>
              <w:ind w:firstLine="480"/>
              <w:jc w:val="left"/>
            </w:pPr>
            <w:r>
              <w:rPr>
                <w:rFonts w:ascii="仿宋_GB2312" w:hAnsi="仿宋_GB2312" w:cs="仿宋_GB2312" w:eastAsia="仿宋_GB2312"/>
                <w:sz w:val="18"/>
              </w:rPr>
              <w:t>9</w:t>
            </w:r>
            <w:r>
              <w:rPr>
                <w:rFonts w:ascii="仿宋_GB2312" w:hAnsi="仿宋_GB2312" w:cs="仿宋_GB2312" w:eastAsia="仿宋_GB2312"/>
                <w:sz w:val="18"/>
              </w:rPr>
              <w:t>、成交供应商在施工中应执行国家、部、企业的规定和标准，满足建筑、公共安全标准、节能、环保、安全等要求，以及国家已发布实行的其他要求及规范。本项目的材料、设备、施工须达到相关工程施工与质量验收规范、施工技术规范及现行中华人民共和国以及省、自治区、直辖市或行业的工程建设标准、规范的要求。施工期间发生的安全责任由成交供应商全部承担，并赔偿相应的损失。</w:t>
            </w:r>
          </w:p>
          <w:p>
            <w:pPr>
              <w:pStyle w:val="null5"/>
              <w:ind w:firstLine="480"/>
              <w:jc w:val="left"/>
            </w:pPr>
            <w:r>
              <w:rPr>
                <w:rFonts w:ascii="仿宋_GB2312" w:hAnsi="仿宋_GB2312" w:cs="仿宋_GB2312" w:eastAsia="仿宋_GB2312"/>
                <w:sz w:val="18"/>
              </w:rPr>
              <w:t>10</w:t>
            </w:r>
            <w:r>
              <w:rPr>
                <w:rFonts w:ascii="仿宋_GB2312" w:hAnsi="仿宋_GB2312" w:cs="仿宋_GB2312" w:eastAsia="仿宋_GB2312"/>
                <w:sz w:val="18"/>
              </w:rPr>
              <w:t>、遵守政府有关主管部门对施工场地交通、施工噪音、环境保护（施工单位在施工过程中必须加强扬尘防护、渣土外运等环境保护，学校体育场设有环保监控监测站，数据直接传送环保部，须安排专人负责环境保护工作，如监测环保数据超标，国家环保部将直接问责当地，影响重大。对工程造成的影响是直接停工整改，施工单位要采取环保措施达到封闭施工，避免出现问题，如出现与此相关的问题由施工单位承担一切责任并自行协调处理）和安全生产等管理规定。施工在不影响学校正常教学秩序的前提下进行，务必保证施工期间校园内人员的人身安全、不妨碍交通、不污染环境等为基本原则。制定施工方案，提出具体的防止扬尘，降音降噪等环保措施，明确施工场地具体的环保要求和环保责任人。施工过程严格执行《山东省扬尘污染防治管理办法》、泰安市住房和城乡建设局《关于加强施工现场扬尘管控的通知》、《济南市扬尘污染防治管理规定》等规定和文件要求；渣土、废弃物等倾倒场地必须是经有关部门批准的合法渣土倾倒场。</w:t>
            </w:r>
          </w:p>
          <w:p>
            <w:pPr>
              <w:pStyle w:val="null5"/>
              <w:ind w:firstLine="480"/>
              <w:jc w:val="left"/>
            </w:pPr>
            <w:r>
              <w:rPr>
                <w:rFonts w:ascii="仿宋_GB2312" w:hAnsi="仿宋_GB2312" w:cs="仿宋_GB2312" w:eastAsia="仿宋_GB2312"/>
                <w:sz w:val="18"/>
              </w:rPr>
              <w:t>11、供应商</w:t>
            </w:r>
            <w:r>
              <w:rPr>
                <w:rFonts w:ascii="仿宋_GB2312" w:hAnsi="仿宋_GB2312" w:cs="仿宋_GB2312" w:eastAsia="仿宋_GB2312"/>
                <w:sz w:val="18"/>
              </w:rPr>
              <w:t>需要考虑施工期间不影响学生正常居住用电。</w:t>
            </w:r>
          </w:p>
          <w:p>
            <w:pPr>
              <w:pStyle w:val="null5"/>
              <w:ind w:firstLine="480"/>
              <w:jc w:val="left"/>
            </w:pPr>
            <w:r>
              <w:rPr>
                <w:rFonts w:ascii="仿宋_GB2312" w:hAnsi="仿宋_GB2312" w:cs="仿宋_GB2312" w:eastAsia="仿宋_GB2312"/>
                <w:sz w:val="18"/>
              </w:rPr>
              <w:t>12</w:t>
            </w:r>
            <w:r>
              <w:rPr>
                <w:rFonts w:ascii="仿宋_GB2312" w:hAnsi="仿宋_GB2312" w:cs="仿宋_GB2312" w:eastAsia="仿宋_GB2312"/>
                <w:sz w:val="18"/>
              </w:rPr>
              <w:t>、施工过程中要注意保护学生个人物品，如有丢失或损坏，所产生的一切费用由成交供应商承担；在施工过程中要注意保护已有设施，如有损坏由成交供应商负责恢复原样，所产生的一切费用由成交供应商承担。</w:t>
            </w:r>
          </w:p>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若成交公示发出后，成交供应商拒不签订合同，则采购人有权利将其加入不诚信单位名单，由此造成的后果由成交供应商自行承担；若签订合同后，成交供应商无故不进场施工，或中途中断履行合同，则采购人有权利与其解除合同，由此造成的后果由成交供应商自行承担。</w:t>
            </w:r>
          </w:p>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供应商要增强材料价格风险防范意识，在投标报价时充分预估材料采购市场风险，密切关注相关建筑材料市场价格变化，采取积极有效措施预防和化解因价格急剧波动带来的工程造价风险，在确保工程质量、工期的同时，合理确定相应材料价格。</w:t>
            </w:r>
          </w:p>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、供应商报价低于成本价且无法提供相关证明材料的，按无效标处理。项目中主要材料（设备）须全部填写主要材料（设备）明细表，且材料价格不能明显低于同类同档次产品的市场价格水平。</w:t>
            </w:r>
          </w:p>
          <w:p>
            <w:pPr>
              <w:pStyle w:val="null5"/>
              <w:ind w:firstLine="480"/>
              <w:jc w:val="left"/>
            </w:pPr>
            <w:r>
              <w:rPr>
                <w:rFonts w:ascii="仿宋_GB2312" w:hAnsi="仿宋_GB2312" w:cs="仿宋_GB2312" w:eastAsia="仿宋_GB2312"/>
                <w:sz w:val="18"/>
              </w:rPr>
              <w:t>16、学校假期各类维修项目点多面广、施工条件复杂、多单位交叉施工、需与多个管理方和施工方进行沟通，</w:t>
            </w:r>
            <w:r>
              <w:rPr>
                <w:rFonts w:ascii="仿宋_GB2312" w:hAnsi="仿宋_GB2312" w:cs="仿宋_GB2312" w:eastAsia="仿宋_GB2312"/>
                <w:sz w:val="18"/>
              </w:rPr>
              <w:t>所发生的一切费用、责任均由成交供应商自负。</w:t>
            </w:r>
          </w:p>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、成交供应商自行协调处理施工现场周边的社会关系，解决施工至竣工移交过程中遇到的各种问题及事项，所发生的一切费用、责任均由成交供应商自负。</w:t>
            </w:r>
          </w:p>
          <w:p>
            <w:pPr>
              <w:pStyle w:val="null5"/>
              <w:ind w:firstLine="480"/>
              <w:jc w:val="left"/>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、成交供应商自行协调市政、执法、验收等部门关系和办理相关手续，保证工程按期完成并通过竣工验收，所发生的一切费用、责任均由成交供应商自负。</w:t>
            </w:r>
          </w:p>
          <w:p>
            <w:pPr>
              <w:pStyle w:val="null5"/>
              <w:ind w:firstLine="480"/>
              <w:jc w:val="left"/>
            </w:pPr>
            <w:r>
              <w:rPr>
                <w:rFonts w:ascii="仿宋_GB2312" w:hAnsi="仿宋_GB2312" w:cs="仿宋_GB2312" w:eastAsia="仿宋_GB2312"/>
                <w:sz w:val="18"/>
              </w:rPr>
              <w:t>19</w:t>
            </w:r>
            <w:r>
              <w:rPr>
                <w:rFonts w:ascii="仿宋_GB2312" w:hAnsi="仿宋_GB2312" w:cs="仿宋_GB2312" w:eastAsia="仿宋_GB2312"/>
                <w:sz w:val="18"/>
              </w:rPr>
              <w:t>、因供应商原因造成工期延误，有正当理由需要工期延期的，由供应商向采购人提出书面延期申请，经采购人、监理人确认后，工期相应顺延，双方互不追究责任。无正当理由造成延期的，逾期竣工违约金的计算方法为：</w:t>
            </w:r>
            <w:r>
              <w:rPr>
                <w:rFonts w:ascii="仿宋_GB2312" w:hAnsi="仿宋_GB2312" w:cs="仿宋_GB2312" w:eastAsia="仿宋_GB2312"/>
                <w:sz w:val="18"/>
              </w:rPr>
              <w:t>5000元/天；在采购人发出工期延误警告后超过7天供应商无任何有效措施时，采购人有权解除合同。解除合同后采购人的责任和义务并未解除，按照合同约定的保修期满后才会终止。</w:t>
            </w:r>
          </w:p>
          <w:p>
            <w:pPr>
              <w:pStyle w:val="null5"/>
              <w:ind w:firstLine="480"/>
              <w:jc w:val="left"/>
            </w:pPr>
            <w:r>
              <w:rPr>
                <w:rFonts w:ascii="仿宋_GB2312" w:hAnsi="仿宋_GB2312" w:cs="仿宋_GB2312" w:eastAsia="仿宋_GB2312"/>
                <w:sz w:val="18"/>
              </w:rPr>
              <w:t>20</w:t>
            </w:r>
            <w:r>
              <w:rPr>
                <w:rFonts w:ascii="仿宋_GB2312" w:hAnsi="仿宋_GB2312" w:cs="仿宋_GB2312" w:eastAsia="仿宋_GB2312"/>
                <w:sz w:val="18"/>
              </w:rPr>
              <w:t>、供应商须在法定质疑期内一次性提出针对同一采购程序环节的质疑。</w:t>
            </w:r>
          </w:p>
          <w:p>
            <w:pPr>
              <w:pStyle w:val="null5"/>
              <w:ind w:firstLine="480"/>
              <w:jc w:val="left"/>
            </w:pPr>
            <w:r>
              <w:rPr>
                <w:rFonts w:ascii="仿宋_GB2312" w:hAnsi="仿宋_GB2312" w:cs="仿宋_GB2312" w:eastAsia="仿宋_GB2312"/>
                <w:sz w:val="18"/>
              </w:rPr>
              <w:t>21</w:t>
            </w:r>
            <w:r>
              <w:rPr>
                <w:rFonts w:ascii="仿宋_GB2312" w:hAnsi="仿宋_GB2312" w:cs="仿宋_GB2312" w:eastAsia="仿宋_GB2312"/>
                <w:sz w:val="18"/>
              </w:rPr>
              <w:t>、本项目质量保修期为</w:t>
            </w:r>
            <w:r>
              <w:rPr>
                <w:rFonts w:ascii="仿宋_GB2312" w:hAnsi="仿宋_GB2312" w:cs="仿宋_GB2312" w:eastAsia="仿宋_GB2312"/>
                <w:sz w:val="18"/>
              </w:rPr>
              <w:t>2年，自工程实际竣工验收合格之日起计算。缺陷责任期为24个月。成交供应商在质保过程中如果不履行合同约定的责任和义务，将按《中华人民共和国政府采购法》等相关法律法规规定作出处理。</w:t>
            </w:r>
          </w:p>
          <w:p>
            <w:pPr>
              <w:pStyle w:val="null5"/>
              <w:jc w:val="left"/>
            </w:pPr>
            <w:r>
              <w:rPr>
                <w:rFonts w:ascii="仿宋_GB2312" w:hAnsi="仿宋_GB2312" w:cs="仿宋_GB2312" w:eastAsia="仿宋_GB2312"/>
                <w:sz w:val="18"/>
              </w:rPr>
              <w:t><![CDATA[22、本项⽬施⼯时应严格执⾏财政部、住房城乡建设部、⼯业和信息化部发布的<<关于进⼀步扩⼤政府采购⽀持绿⾊建材促进建筑品质提升政策实施范围的通知>>(财库(2024)36号)及制定的<<绿⾊建筑和绿⾊建材政府采购需求标准(2025版)>>。成交供应商须按上述⽂件有关要求施⼯，并采购或使⽤符合要求的绿⾊建材:施⼯阶段，要强化施⼯现场监管，确保施⼯单位落实绿⾊建筑要求，使⽤符合<<需求标准>>的绿⾊建材。]]></w:t>
            </w:r>
          </w:p>
          <w:p>
            <w:pPr>
              <w:pStyle w:val="null5"/>
              <w:ind w:firstLine="480"/>
              <w:jc w:val="left"/>
            </w:pPr>
            <w:r>
              <w:rPr>
                <w:rFonts w:ascii="仿宋_GB2312" w:hAnsi="仿宋_GB2312" w:cs="仿宋_GB2312" w:eastAsia="仿宋_GB2312"/>
                <w:sz w:val="18"/>
              </w:rPr>
              <w:t>23</w:t>
            </w:r>
            <w:r>
              <w:rPr>
                <w:rFonts w:ascii="仿宋_GB2312" w:hAnsi="仿宋_GB2312" w:cs="仿宋_GB2312" w:eastAsia="仿宋_GB2312"/>
                <w:sz w:val="18"/>
              </w:rPr>
              <w:t>、根据财政部、发展改革委、生态环境部、市场监管总局《关于调整优化节能产品、环境标志产品政府采购执行机制的通知》（财库〔</w:t>
            </w:r>
            <w:r>
              <w:rPr>
                <w:rFonts w:ascii="仿宋_GB2312" w:hAnsi="仿宋_GB2312" w:cs="仿宋_GB2312" w:eastAsia="仿宋_GB2312"/>
                <w:sz w:val="18"/>
              </w:rPr>
              <w:t>2019〕9号）、财政部、发展改革委《关于印发节能产品政府采购品目清单的通知》（财库〔2019〕19号）等文件要求：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本次采购若涉及最新《节能产品政府采购品目清单》内强制采购的节能产品（品目清单中“★”标注的产品）,无论项目说明中是否明确为强制节能产品，供应商都必须投报强制节能产品并提供有效的认证证书，否则按无效投标处理。</w:t>
            </w:r>
          </w:p>
          <w:p>
            <w:pPr>
              <w:pStyle w:val="null5"/>
              <w:jc w:val="left"/>
            </w:pPr>
            <w:r>
              <w:rPr>
                <w:rFonts w:ascii="仿宋_GB2312" w:hAnsi="仿宋_GB2312" w:cs="仿宋_GB2312" w:eastAsia="仿宋_GB2312"/>
                <w:sz w:val="18"/>
              </w:rPr>
              <w:t>24、政府采购合同融资政策：采购人支持本项目成交、中标供应商通过“政府采购合同融资服务平台”“中征应收账款融资服务平台”实施政府采购合同融资,供应商可登录中国山东政府采购网融资服务板块了解相关政策。</w:t>
            </w:r>
          </w:p>
          <w:p>
            <w:pPr>
              <w:pStyle w:val="null5"/>
              <w:ind w:firstLine="480"/>
              <w:jc w:val="both"/>
            </w:pPr>
            <w:r>
              <w:rPr>
                <w:rFonts w:ascii="仿宋_GB2312" w:hAnsi="仿宋_GB2312" w:cs="仿宋_GB2312" w:eastAsia="仿宋_GB2312"/>
                <w:sz w:val="18"/>
              </w:rPr>
              <w:t>25、乙方在施工全过程中，如存在重大质量缺陷、安全责任事故、恶意拖欠农民工工资等违约违法行为，甲方可直接从应付工程款中扣除相应赔偿、违约及处置费用；抵扣金额不足以弥补甲方全部损失的，甲方有权就剩余损失向乙方另行追偿。</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详见技术要求、工程量清单</w:t>
            </w:r>
          </w:p>
        </w:tc>
        <w:tc>
          <w:tcPr>
            <w:tcW w:type="dxa" w:w="4153"/>
          </w:tcPr>
          <w:p>
            <w:pPr>
              <w:pStyle w:val="null5"/>
              <w:jc w:val="left"/>
            </w:pPr>
            <w:r>
              <w:rPr>
                <w:rFonts w:ascii="仿宋_GB2312" w:hAnsi="仿宋_GB2312" w:cs="仿宋_GB2312" w:eastAsia="仿宋_GB2312"/>
              </w:rPr>
              <w:t>详见技术要求、工程量清单</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30日历日，以合同签订工期要求及采购人通知开竣工日期为准。</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山东第一医科大学泰安校区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1、合同签订生效且具备实施条件后，，乙方向项目负责人或指定人申请，达到付款条件起7日内，支付合同总金额的30.00%</w:t>
            </w:r>
          </w:p>
          <w:p>
            <w:pPr>
              <w:pStyle w:val="null5"/>
              <w:jc w:val="left"/>
            </w:pPr>
            <w:r>
              <w:rPr>
                <w:rFonts w:ascii="仿宋_GB2312" w:hAnsi="仿宋_GB2312" w:cs="仿宋_GB2312" w:eastAsia="仿宋_GB2312"/>
              </w:rPr>
              <w:t>2、工程竣工验收合格、定案完成后，达到付款条件起7日内，支付合同总金额的70.00%</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质量保证⾦及缴纳形式更正为:缴纳比例：工程价款结算总额2%。缴纳形式：银⾏本票、银⾏汇票、电汇(含⽹银转账)等⾮现⾦形式。缴纳方式：乙方须在工程竣工验收合格、审计定案完成后5个工作日内向采购⼈缴纳。退还时间：工程缺陷责任期满后未出现重大质量问题、安全问题，14天内无息退还。 2.本项⽬如有供应商⾃⾏踏勘现场， 联系⼈：贠⽼师，电话：15653807778。3.因系统限制，合同⽀付⽅式以此为准：本项⽬在合同签订⽣效且具备实施条件后 ，⼄⽅向项⽬负责⼈或指定⼈申请合同⾦额30%的预付款，甲⽅确定后7个⼯作⽇内⽀付。⼯程竣⼯验收合格、定案完成后付 ⾄定案值的100%。注：⼄⽅向甲⽅申请办理付款时须提供原合同（政府采购合同封⾯、合同正⽂部分）的PDF扫描件。4、 因供应商⾃⾝原因导致在规定的解密时间内解密失败的，其投标被拒绝且响应⽂件被退回。5、成交供应商须在成交结果公告 发布后向代理公司提供四份（⼀正四副）纸质响应⽂件。纸质响应⽂件为使⽤电⼦响应⽂件制作⼯具编制的响应⽂件打印件， 装订成册，并加盖骑缝章。纸质响应⽂件内容应与解密后的电⼦响应⽂件⼀致，否则将被视为不诚信履约。6、供应商对开标有异议的，应在开标时通过“开标/开启⼤厅”直接提出，否则视为认同。开标结束后不再接受有关开标现场的任何异议。7.已标价工程量清单应按附件格式要求签字盖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sz w:val="24"/>
        </w:rPr>
        <w:t>根据磋商文件及相关法律法规要求</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sz w:val="24"/>
        </w:rPr>
        <w:t>根据磋商文件及相关法律法规要求</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提供事业单位法人证书或营业执照等证明文件，自然人的身份证明（加盖公章）</w:t>
            </w:r>
          </w:p>
        </w:tc>
        <w:tc>
          <w:tcPr>
            <w:tcW w:type="dxa" w:w="1661"/>
          </w:tcPr>
          <w:p>
            <w:pPr>
              <w:pStyle w:val="null5"/>
              <w:jc w:val="left"/>
            </w:pPr>
            <w:r>
              <w:rPr>
                <w:rFonts w:ascii="仿宋_GB2312" w:hAnsi="仿宋_GB2312" w:cs="仿宋_GB2312" w:eastAsia="仿宋_GB2312"/>
              </w:rPr>
              <w:t>具有独立承担民事责任的能力</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法定代表人身份证明书或法定代表人授权委托书</w:t>
            </w:r>
          </w:p>
        </w:tc>
        <w:tc>
          <w:tcPr>
            <w:tcW w:type="dxa" w:w="3322"/>
          </w:tcPr>
          <w:p>
            <w:pPr>
              <w:pStyle w:val="null5"/>
              <w:jc w:val="left"/>
            </w:pPr>
            <w:r>
              <w:rPr>
                <w:rFonts w:ascii="仿宋_GB2312" w:hAnsi="仿宋_GB2312" w:cs="仿宋_GB2312" w:eastAsia="仿宋_GB2312"/>
              </w:rPr>
              <w:t>如授权代表参加投标，可只提供法定代表人授权委托书复印件（加盖公章）；如法定代表人参加投标，可只提供法定代表人身份证明书复印件（加盖公章）；如授权代表参加投标，须提供法定代表人授权委托书复印件以及响应截止时间前近3个月的连续缴纳社保证明(新成立企业不足3个月的须提供成立以来至今的连续缴纳社保证明)。</w:t>
            </w:r>
          </w:p>
        </w:tc>
        <w:tc>
          <w:tcPr>
            <w:tcW w:type="dxa" w:w="1661"/>
          </w:tcPr>
          <w:p>
            <w:pPr>
              <w:pStyle w:val="null5"/>
              <w:jc w:val="left"/>
            </w:pPr>
            <w:r>
              <w:rPr>
                <w:rFonts w:ascii="仿宋_GB2312" w:hAnsi="仿宋_GB2312" w:cs="仿宋_GB2312" w:eastAsia="仿宋_GB2312"/>
              </w:rPr>
              <w:t>法定代表人身份证明（或法定代表人授权委托书）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经审计的财务报告或资信证明</w:t>
            </w:r>
          </w:p>
        </w:tc>
        <w:tc>
          <w:tcPr>
            <w:tcW w:type="dxa" w:w="3322"/>
          </w:tcPr>
          <w:p>
            <w:pPr>
              <w:pStyle w:val="null5"/>
              <w:jc w:val="left"/>
            </w:pPr>
            <w:r>
              <w:rPr>
                <w:rFonts w:ascii="仿宋_GB2312" w:hAnsi="仿宋_GB2312" w:cs="仿宋_GB2312" w:eastAsia="仿宋_GB2312"/>
              </w:rPr>
              <w:t>供应商应提供2024年或2025年度经审计的财务报告或其在响应文件提交截止时间前3个月内银行出具的资信证明复印件（加盖公章）。</w:t>
            </w:r>
          </w:p>
        </w:tc>
        <w:tc>
          <w:tcPr>
            <w:tcW w:type="dxa" w:w="1661"/>
          </w:tcPr>
          <w:p>
            <w:pPr>
              <w:pStyle w:val="null5"/>
              <w:jc w:val="left"/>
            </w:pPr>
            <w:r>
              <w:rPr>
                <w:rFonts w:ascii="仿宋_GB2312" w:hAnsi="仿宋_GB2312" w:cs="仿宋_GB2312" w:eastAsia="仿宋_GB2312"/>
              </w:rPr>
              <w:t>财务状况、供应商银行开户情况、具有良好的商业信誉和健全的财务会计制度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供应商须具有履行合同所必需的设备和专业技术能力，须附承诺函或相关证明材料</w:t>
            </w:r>
          </w:p>
        </w:tc>
        <w:tc>
          <w:tcPr>
            <w:tcW w:type="dxa" w:w="3322"/>
          </w:tcPr>
          <w:p>
            <w:pPr>
              <w:pStyle w:val="null5"/>
              <w:jc w:val="left"/>
            </w:pPr>
            <w:r>
              <w:rPr>
                <w:rFonts w:ascii="仿宋_GB2312" w:hAnsi="仿宋_GB2312" w:cs="仿宋_GB2312" w:eastAsia="仿宋_GB2312"/>
              </w:rPr>
              <w:t>供应商须具有履行合同所必需的设备和专业技术能力，须附承诺函或相关证明材料。（加盖公章）</w:t>
            </w:r>
          </w:p>
        </w:tc>
        <w:tc>
          <w:tcPr>
            <w:tcW w:type="dxa" w:w="1661"/>
          </w:tcPr>
          <w:p>
            <w:pPr>
              <w:pStyle w:val="null5"/>
              <w:jc w:val="left"/>
            </w:pPr>
            <w:r>
              <w:rPr>
                <w:rFonts w:ascii="仿宋_GB2312" w:hAnsi="仿宋_GB2312" w:cs="仿宋_GB2312" w:eastAsia="仿宋_GB2312"/>
              </w:rPr>
              <w:t>具有履行合同所必需的设备和专业技术能力的声明函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供应商应提供缴纳税收、社会保障资金的证明材料，须提供本单位 2026年4月份至磋商截至时间前连续三个月依法缴纳税收和社会保障资金的证明材料。依法缴纳税收、社会保障资金凭据（注：依法免税或不需要缴纳社会保障资金的供应商，须提供相应文件证明其依法免税或不需要缴纳社会保障资金证明材料）（加盖公章）</w:t>
            </w:r>
          </w:p>
        </w:tc>
        <w:tc>
          <w:tcPr>
            <w:tcW w:type="dxa" w:w="1661"/>
          </w:tcPr>
          <w:p>
            <w:pPr>
              <w:pStyle w:val="null5"/>
              <w:jc w:val="left"/>
            </w:pPr>
            <w:r>
              <w:rPr>
                <w:rFonts w:ascii="仿宋_GB2312" w:hAnsi="仿宋_GB2312" w:cs="仿宋_GB2312" w:eastAsia="仿宋_GB2312"/>
              </w:rPr>
              <w:t>依法缴纳税收和社会保障资金承诺函、依法缴纳税收和社会保障资金的相关材料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近三年内（本项目响应文件递交截止日前）供应商在经营活动中没有重大违法记录，供应商须提供书面声明（加盖公章）</w:t>
            </w:r>
          </w:p>
        </w:tc>
        <w:tc>
          <w:tcPr>
            <w:tcW w:type="dxa" w:w="1661"/>
          </w:tcPr>
          <w:p>
            <w:pPr>
              <w:pStyle w:val="null5"/>
              <w:jc w:val="left"/>
            </w:pPr>
            <w:r>
              <w:rPr>
                <w:rFonts w:ascii="仿宋_GB2312" w:hAnsi="仿宋_GB2312" w:cs="仿宋_GB2312" w:eastAsia="仿宋_GB2312"/>
              </w:rPr>
              <w:t>近三年内在经营活动中没有重大违法记录的书面声明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通过“信用中国”或“信用山东”、“中国政府采购网”网站查询供应商信用记录，未被列入失信被执行人、重大税收违法案件当事人名单及政府采购严重违法失信行为记录名单的</w:t>
            </w:r>
          </w:p>
        </w:tc>
        <w:tc>
          <w:tcPr>
            <w:tcW w:type="dxa" w:w="1661"/>
          </w:tcPr>
          <w:p>
            <w:pPr>
              <w:pStyle w:val="null5"/>
              <w:jc w:val="left"/>
            </w:pPr>
            <w:r>
              <w:rPr>
                <w:rFonts w:ascii="仿宋_GB2312" w:hAnsi="仿宋_GB2312" w:cs="仿宋_GB2312" w:eastAsia="仿宋_GB2312"/>
              </w:rPr>
              <w:t>其他相关文件、其他材料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单位负责人为同一人或者存在直接控股、管理关系的不同供应商，不得参加同一包的投标或者未划分包的同一项目的投标</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其他相关文件、其他材料、政府采购采购诚信承诺书</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供应商应具有电子与智能化专业承包资质（贰级或以上），并具有有效的安全生产许可证</w:t>
            </w:r>
          </w:p>
        </w:tc>
        <w:tc>
          <w:tcPr>
            <w:tcW w:type="dxa" w:w="3322"/>
          </w:tcPr>
          <w:p>
            <w:pPr>
              <w:pStyle w:val="null5"/>
              <w:jc w:val="left"/>
            </w:pPr>
            <w:r>
              <w:rPr>
                <w:rFonts w:ascii="仿宋_GB2312" w:hAnsi="仿宋_GB2312" w:cs="仿宋_GB2312" w:eastAsia="仿宋_GB2312"/>
              </w:rPr>
              <w:t>供应商应具有电子与智能化专业承包资质（贰级或以上），并具有有效的安全生产许可证（须提供相关证书复印件）</w:t>
            </w:r>
          </w:p>
        </w:tc>
        <w:tc>
          <w:tcPr>
            <w:tcW w:type="dxa" w:w="1661"/>
          </w:tcPr>
          <w:p>
            <w:pPr>
              <w:pStyle w:val="null5"/>
              <w:jc w:val="left"/>
            </w:pPr>
            <w:r>
              <w:rPr>
                <w:rFonts w:ascii="仿宋_GB2312" w:hAnsi="仿宋_GB2312" w:cs="仿宋_GB2312" w:eastAsia="仿宋_GB2312"/>
              </w:rPr>
              <w:t>其他相关文件、其他材料、供应商基本情况表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拟派项目经理须具备机电工程专业二级及以上注册建造师执业资格，具备有效的安全生产考核合格B证证书，且未担任其他在施建设工程项目，拟投入本项目的经理须符合《注册建造师管理规定》和《山东省人民政府办公厅关于进一步加强房屋建筑和市政工程招标投标监督管理的意见》的相关规定</w:t>
            </w:r>
          </w:p>
        </w:tc>
        <w:tc>
          <w:tcPr>
            <w:tcW w:type="dxa" w:w="3322"/>
          </w:tcPr>
          <w:p>
            <w:pPr>
              <w:pStyle w:val="null5"/>
              <w:jc w:val="left"/>
            </w:pPr>
            <w:r>
              <w:rPr>
                <w:rFonts w:ascii="仿宋_GB2312" w:hAnsi="仿宋_GB2312" w:cs="仿宋_GB2312" w:eastAsia="仿宋_GB2312"/>
              </w:rPr>
              <w:t>拟派项目经理须具备机电工程专业二级及以上注册建造师执业资格，具备有效的安全生产考核合格B证证书，且未担任其他在施建设工程项目，拟投入本项目的经理须符合《注册建造师管理规定》和《山东省人民政府办公厅关于进一步加强房屋建筑和市政工程招标投标监督管理的意见》的相关规定</w:t>
            </w:r>
          </w:p>
        </w:tc>
        <w:tc>
          <w:tcPr>
            <w:tcW w:type="dxa" w:w="1661"/>
          </w:tcPr>
          <w:p>
            <w:pPr>
              <w:pStyle w:val="null5"/>
              <w:jc w:val="left"/>
            </w:pPr>
            <w:r>
              <w:rPr>
                <w:rFonts w:ascii="仿宋_GB2312" w:hAnsi="仿宋_GB2312" w:cs="仿宋_GB2312" w:eastAsia="仿宋_GB2312"/>
              </w:rPr>
              <w:t>项目负责人简历表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根据《关于对财政性资金管理使用领域相关失信责任主体实施联合惩戒的合作备忘录》（发改财金[2016]2641号文件），凡被公布为失信责任主体的供应商，不得参加本项目投标报价</w:t>
            </w:r>
          </w:p>
        </w:tc>
        <w:tc>
          <w:tcPr>
            <w:tcW w:type="dxa" w:w="3322"/>
          </w:tcPr>
          <w:p>
            <w:pPr>
              <w:pStyle w:val="null5"/>
              <w:jc w:val="left"/>
            </w:pPr>
            <w:r>
              <w:rPr>
                <w:rFonts w:ascii="仿宋_GB2312" w:hAnsi="仿宋_GB2312" w:cs="仿宋_GB2312" w:eastAsia="仿宋_GB2312"/>
              </w:rPr>
              <w:t>根据《关于对财政性资金管理使用领域相关失信责任主体实施联合惩戒的合作备忘录》（发改财金[2016]2641号文件），凡被公布为失信责任主体的供应商，不得参加本项目投标报价</w:t>
            </w:r>
          </w:p>
        </w:tc>
        <w:tc>
          <w:tcPr>
            <w:tcW w:type="dxa" w:w="1661"/>
          </w:tcPr>
          <w:p>
            <w:pPr>
              <w:pStyle w:val="null5"/>
              <w:jc w:val="left"/>
            </w:pPr>
            <w:r>
              <w:rPr>
                <w:rFonts w:ascii="仿宋_GB2312" w:hAnsi="仿宋_GB2312" w:cs="仿宋_GB2312" w:eastAsia="仿宋_GB2312"/>
              </w:rPr>
              <w:t>其他相关文件、其他材料</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供应商承诺函、法定代表人身份证明（或法定代表人授权委托书）、供应商自觉抵制政府采购领域商业贿赂行为承诺书、封面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强制节能产品明细表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商务响应表、符合性审查文件、技术参数响应表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报价函及报价函附录、商务响应表、符合性审查文件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报价函及报价函附录、投标（响应）报价明细表、符合性审查文件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报价得分20.00分</w:t>
            </w:r>
          </w:p>
          <w:p>
            <w:pPr>
              <w:pStyle w:val="null5"/>
              <w:jc w:val="left"/>
            </w:pPr>
            <w:r>
              <w:rPr>
                <w:rFonts w:ascii="仿宋_GB2312" w:hAnsi="仿宋_GB2312" w:cs="仿宋_GB2312" w:eastAsia="仿宋_GB2312"/>
              </w:rPr>
              <w:t>附加分4.00分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施工组织设计1</w:t>
            </w:r>
          </w:p>
        </w:tc>
        <w:tc>
          <w:tcPr>
            <w:tcW w:type="dxa" w:w="2575"/>
          </w:tcPr>
          <w:p>
            <w:pPr>
              <w:pStyle w:val="null5"/>
              <w:jc w:val="left"/>
            </w:pPr>
            <w:r>
              <w:rPr>
                <w:rFonts w:ascii="仿宋_GB2312" w:hAnsi="仿宋_GB2312" w:cs="仿宋_GB2312" w:eastAsia="仿宋_GB2312"/>
              </w:rPr>
              <w:t>总体概述：施工组织总体设想、方案针对性和施工段划分等科学、合理、可行，满分5分；每出现一处相对弱项或不完整、针对性不强、不合理之处扣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施工组织设计2</w:t>
            </w:r>
          </w:p>
        </w:tc>
        <w:tc>
          <w:tcPr>
            <w:tcW w:type="dxa" w:w="2575"/>
          </w:tcPr>
          <w:p>
            <w:pPr>
              <w:pStyle w:val="null5"/>
              <w:jc w:val="left"/>
            </w:pPr>
            <w:r>
              <w:rPr>
                <w:rFonts w:ascii="仿宋_GB2312" w:hAnsi="仿宋_GB2312" w:cs="仿宋_GB2312" w:eastAsia="仿宋_GB2312"/>
              </w:rPr>
              <w:t>施工现场平面布置和临时设施、临时道路布置合理、完善，有针对性，满分5分；每出现一处相对弱项或不完整、针对性不强、不合理之处扣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施工组织设计3</w:t>
            </w:r>
          </w:p>
        </w:tc>
        <w:tc>
          <w:tcPr>
            <w:tcW w:type="dxa" w:w="2575"/>
          </w:tcPr>
          <w:p>
            <w:pPr>
              <w:pStyle w:val="null5"/>
              <w:jc w:val="left"/>
            </w:pPr>
            <w:r>
              <w:rPr>
                <w:rFonts w:ascii="仿宋_GB2312" w:hAnsi="仿宋_GB2312" w:cs="仿宋_GB2312" w:eastAsia="仿宋_GB2312"/>
              </w:rPr>
              <w:t>施工进度计划和各阶段进度的保证措施：根据工程进度计划清晰合理（包括不限于主要材料供货时间节点，材料进入施工现场时间节点安排，工期进度计划安排；施工网络计划图、横道图编排合理，关键线路清晰、准确、完整等内容）；确保不影响学校教学、科研、办公及正常生活秩序的措施科学、合理,进度保障措施合理、可行，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施工组织设计4</w:t>
            </w:r>
          </w:p>
        </w:tc>
        <w:tc>
          <w:tcPr>
            <w:tcW w:type="dxa" w:w="2575"/>
          </w:tcPr>
          <w:p>
            <w:pPr>
              <w:pStyle w:val="null5"/>
              <w:jc w:val="left"/>
            </w:pPr>
            <w:r>
              <w:rPr>
                <w:rFonts w:ascii="仿宋_GB2312" w:hAnsi="仿宋_GB2312" w:cs="仿宋_GB2312" w:eastAsia="仿宋_GB2312"/>
              </w:rPr>
              <w:t>各分部分项工程的施工方案和质量保证措施：分部分项工程涵盖涉及到各项目，施工方案描述清晰明确、有针对性，质量控制目标明确，质量保障措施科学、合理、可行，满分6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施工组织设计5</w:t>
            </w:r>
          </w:p>
        </w:tc>
        <w:tc>
          <w:tcPr>
            <w:tcW w:type="dxa" w:w="2575"/>
          </w:tcPr>
          <w:p>
            <w:pPr>
              <w:pStyle w:val="null5"/>
              <w:jc w:val="left"/>
            </w:pPr>
            <w:r>
              <w:rPr>
                <w:rFonts w:ascii="仿宋_GB2312" w:hAnsi="仿宋_GB2312" w:cs="仿宋_GB2312" w:eastAsia="仿宋_GB2312"/>
              </w:rPr>
              <w:t>劳动力、机械设备和材料投入计划科学、合理、满足工程实际需要（本项目工期紧、任务重，需多个工作面、施工点同时展开，人力、机械需多点投入，需进行详细布局安排），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施工组织设计6</w:t>
            </w:r>
          </w:p>
        </w:tc>
        <w:tc>
          <w:tcPr>
            <w:tcW w:type="dxa" w:w="2575"/>
          </w:tcPr>
          <w:p>
            <w:pPr>
              <w:pStyle w:val="null5"/>
              <w:jc w:val="left"/>
            </w:pPr>
            <w:r>
              <w:rPr>
                <w:rFonts w:ascii="仿宋_GB2312" w:hAnsi="仿宋_GB2312" w:cs="仿宋_GB2312" w:eastAsia="仿宋_GB2312"/>
              </w:rPr>
              <w:t>关键施工技术、工艺及工程实施的重点、难点和解决方案科学、合理、具有操作性，满分5分；每出现一处相对弱项或不完整、针对性不强、不合理之处扣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施工组织设计7</w:t>
            </w:r>
          </w:p>
        </w:tc>
        <w:tc>
          <w:tcPr>
            <w:tcW w:type="dxa" w:w="2575"/>
          </w:tcPr>
          <w:p>
            <w:pPr>
              <w:pStyle w:val="null5"/>
              <w:jc w:val="left"/>
            </w:pPr>
            <w:r>
              <w:rPr>
                <w:rFonts w:ascii="仿宋_GB2312" w:hAnsi="仿宋_GB2312" w:cs="仿宋_GB2312" w:eastAsia="仿宋_GB2312"/>
              </w:rPr>
              <w:t>安全文明施工方案及安全保障措施：安全文明施工方案合理完善、具有操作性、预警性，安全保障措施（包含但不限于用电安全、登高作业安全防护措施、对危险性较大的工程、安装安全围栏警示牌保护措施等，现场施工安全、施工现场周边人员安全保护方案等）科学、合理、可行，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施工组织设计8</w:t>
            </w:r>
          </w:p>
        </w:tc>
        <w:tc>
          <w:tcPr>
            <w:tcW w:type="dxa" w:w="2575"/>
          </w:tcPr>
          <w:p>
            <w:pPr>
              <w:pStyle w:val="null5"/>
              <w:jc w:val="left"/>
            </w:pPr>
            <w:r>
              <w:rPr>
                <w:rFonts w:ascii="仿宋_GB2312" w:hAnsi="仿宋_GB2312" w:cs="仿宋_GB2312" w:eastAsia="仿宋_GB2312"/>
              </w:rPr>
              <w:t>环境保护措施（含扬尘污染控制措施和渣土车运输措施），包括但不限于建立健全扬尘防治责任制、制定扬尘防治专项方案、落实各项防治具体措施；制定渣土外运、渣土车运输管控措施；使用国三及以上或者新能源非道路移动机械等污染控制措施，满分5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施工组织设计9</w:t>
            </w:r>
          </w:p>
        </w:tc>
        <w:tc>
          <w:tcPr>
            <w:tcW w:type="dxa" w:w="2575"/>
          </w:tcPr>
          <w:p>
            <w:pPr>
              <w:pStyle w:val="null5"/>
              <w:jc w:val="left"/>
            </w:pPr>
            <w:r>
              <w:rPr>
                <w:rFonts w:ascii="仿宋_GB2312" w:hAnsi="仿宋_GB2312" w:cs="仿宋_GB2312" w:eastAsia="仿宋_GB2312"/>
              </w:rPr>
              <w:t>雨季、恶劣天气等不利因素施工措施，对现场成品保护、已有设施和管线的加固、保护等特殊情况下的施工措施科学、合理、具有操作性，满分4分；每出现一处相对弱项或不完整、针对性不强、不合理之处扣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施工组织设计10</w:t>
            </w:r>
          </w:p>
        </w:tc>
        <w:tc>
          <w:tcPr>
            <w:tcW w:type="dxa" w:w="2575"/>
          </w:tcPr>
          <w:p>
            <w:pPr>
              <w:pStyle w:val="null5"/>
              <w:jc w:val="left"/>
            </w:pPr>
            <w:r>
              <w:rPr>
                <w:rFonts w:ascii="仿宋_GB2312" w:hAnsi="仿宋_GB2312" w:cs="仿宋_GB2312" w:eastAsia="仿宋_GB2312"/>
              </w:rPr>
              <w:t>成本控制方案及措施科学、合理、具有操作性，满分4分；每出现一处相对弱项或不完整、针对性不强、不合理之处扣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施工组织设计11</w:t>
            </w:r>
          </w:p>
        </w:tc>
        <w:tc>
          <w:tcPr>
            <w:tcW w:type="dxa" w:w="2575"/>
          </w:tcPr>
          <w:p>
            <w:pPr>
              <w:pStyle w:val="null5"/>
              <w:jc w:val="left"/>
            </w:pPr>
            <w:r>
              <w:rPr>
                <w:rFonts w:ascii="仿宋_GB2312" w:hAnsi="仿宋_GB2312" w:cs="仿宋_GB2312" w:eastAsia="仿宋_GB2312"/>
              </w:rPr>
              <w:t>农民工权益保障方案合理完善、具有操作性，满分3分；每出现一处相对弱项或不完整、针对性不强、不合理之处扣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施工组织设计12</w:t>
            </w:r>
          </w:p>
        </w:tc>
        <w:tc>
          <w:tcPr>
            <w:tcW w:type="dxa" w:w="2575"/>
          </w:tcPr>
          <w:p>
            <w:pPr>
              <w:pStyle w:val="null5"/>
              <w:jc w:val="left"/>
            </w:pPr>
            <w:r>
              <w:rPr>
                <w:rFonts w:ascii="仿宋_GB2312" w:hAnsi="仿宋_GB2312" w:cs="仿宋_GB2312" w:eastAsia="仿宋_GB2312"/>
              </w:rPr>
              <w:t>突发事件应急预案：根据本项目特殊性，制定切合实际的突发事件应急预案，预案科学合理、有预警性、有针对性，满分3分；每出现一处相对弱项或不完整、针对性不强、不合理之处扣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tcPr>
          <w:p/>
        </w:tc>
        <w:tc>
          <w:tcPr>
            <w:tcW w:type="dxa" w:w="1661"/>
          </w:tcPr>
          <w:p>
            <w:pPr>
              <w:pStyle w:val="null5"/>
              <w:jc w:val="left"/>
            </w:pPr>
            <w:r>
              <w:rPr>
                <w:rFonts w:ascii="仿宋_GB2312" w:hAnsi="仿宋_GB2312" w:cs="仿宋_GB2312" w:eastAsia="仿宋_GB2312"/>
              </w:rPr>
              <w:t>施工组织设计13</w:t>
            </w:r>
          </w:p>
        </w:tc>
        <w:tc>
          <w:tcPr>
            <w:tcW w:type="dxa" w:w="2575"/>
          </w:tcPr>
          <w:p>
            <w:pPr>
              <w:pStyle w:val="null5"/>
              <w:jc w:val="left"/>
            </w:pPr>
            <w:r>
              <w:rPr>
                <w:rFonts w:ascii="仿宋_GB2312" w:hAnsi="仿宋_GB2312" w:cs="仿宋_GB2312" w:eastAsia="仿宋_GB2312"/>
              </w:rPr>
              <w:t>设备材料：审查供应商拟投入本项目施工所用的主材、设备材料技术指标性能符合采购人要求及国家环保要求,质量可靠，磋商小组根据供应商提供的设备材料资料进行打分，满分5分； 每出现一处相对弱项或不完整、针对性不强、不合理之处扣 0.5 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施工组织设计</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企业业绩</w:t>
            </w:r>
          </w:p>
        </w:tc>
        <w:tc>
          <w:tcPr>
            <w:tcW w:type="dxa" w:w="2575"/>
          </w:tcPr>
          <w:p>
            <w:pPr>
              <w:pStyle w:val="null5"/>
              <w:jc w:val="left"/>
            </w:pPr>
            <w:r>
              <w:rPr>
                <w:rFonts w:ascii="仿宋_GB2312" w:hAnsi="仿宋_GB2312" w:cs="仿宋_GB2312" w:eastAsia="仿宋_GB2312"/>
              </w:rPr>
              <w:t>供应商自2023年7月1日起至报价截止日，具有类似项目业绩，每有一项得1分，最高得3分。 注：时间以合同具体签订日期为准，供应商需将中标（成交）通知书、合同扫描件制作在响应文件中，否则不得分；类似业绩由磋商小组根据供应商所提供合同内容等认定，磋商小组无法在供应商所提供的有效资料中判断业绩类型、签订日期以及存在其他无法认定为有效业绩的情形，则不予得分；补充合同不单独计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人员业绩</w:t>
            </w:r>
          </w:p>
        </w:tc>
        <w:tc>
          <w:tcPr>
            <w:tcW w:type="dxa" w:w="2575"/>
          </w:tcPr>
          <w:p>
            <w:pPr>
              <w:pStyle w:val="null5"/>
              <w:jc w:val="left"/>
            </w:pPr>
            <w:r>
              <w:rPr>
                <w:rFonts w:ascii="仿宋_GB2312" w:hAnsi="仿宋_GB2312" w:cs="仿宋_GB2312" w:eastAsia="仿宋_GB2312"/>
              </w:rPr>
              <w:t>1.项目负责人经验丰富，近5年有类似工程业绩，每项1.5分，满分3分。 注：（1）供应商需将中标（成交）通知书、合同扫描件制作在响应文件中（中标通知书或合同上须显示项目负责人信息，只在合同盖章签署位置体现项目负责人姓名的不得分，如为分包项目的，须提供总包单位的中标通知书及合同），否则不得分。（2）近5年是指2021年7月1日至报价截止日。（3）企业业绩与项目负责人业绩可重复计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拟派项目负责人承接的类似项目业绩</w:t>
            </w:r>
          </w:p>
        </w:tc>
      </w:tr>
      <w:tr>
        <w:tc>
          <w:tcPr>
            <w:tcW w:type="dxa" w:w="831"/>
            <w:vMerge/>
          </w:tcPr>
          <w:p/>
        </w:tc>
        <w:tc>
          <w:tcPr>
            <w:tcW w:type="dxa" w:w="1661"/>
          </w:tcPr>
          <w:p>
            <w:pPr>
              <w:pStyle w:val="null5"/>
              <w:jc w:val="left"/>
            </w:pPr>
            <w:r>
              <w:rPr>
                <w:rFonts w:ascii="仿宋_GB2312" w:hAnsi="仿宋_GB2312" w:cs="仿宋_GB2312" w:eastAsia="仿宋_GB2312"/>
              </w:rPr>
              <w:t>项目管理机构人员配备</w:t>
            </w:r>
          </w:p>
        </w:tc>
        <w:tc>
          <w:tcPr>
            <w:tcW w:type="dxa" w:w="2575"/>
          </w:tcPr>
          <w:p>
            <w:pPr>
              <w:pStyle w:val="null5"/>
              <w:jc w:val="left"/>
            </w:pPr>
            <w:r>
              <w:rPr>
                <w:rFonts w:ascii="仿宋_GB2312" w:hAnsi="仿宋_GB2312" w:cs="仿宋_GB2312" w:eastAsia="仿宋_GB2312"/>
              </w:rPr>
              <w:t>项目管理机构人员配备合理，岗位设置科学、分工明确，符合工程要求，提出了合理的组织机构和全面的项目管理制度，保证项目负责人和核心团队人员在项目实施期间不得变更，满分4分，每发现一处不合理扣0.5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项目管理机构</w:t>
            </w:r>
          </w:p>
          <w:p>
            <w:pPr>
              <w:pStyle w:val="null5"/>
              <w:jc w:val="left"/>
            </w:pPr>
            <w:r>
              <w:rPr>
                <w:rFonts w:ascii="仿宋_GB2312" w:hAnsi="仿宋_GB2312" w:cs="仿宋_GB2312" w:eastAsia="仿宋_GB2312"/>
              </w:rPr>
              <w:t>项目管理人员情况表</w:t>
            </w:r>
          </w:p>
        </w:tc>
      </w:tr>
      <w:tr>
        <w:tc>
          <w:tcPr>
            <w:tcW w:type="dxa" w:w="831"/>
            <w:vMerge/>
          </w:tcPr>
          <w:p/>
        </w:tc>
        <w:tc>
          <w:tcPr>
            <w:tcW w:type="dxa" w:w="1661"/>
          </w:tcPr>
          <w:p>
            <w:pPr>
              <w:pStyle w:val="null5"/>
              <w:jc w:val="left"/>
            </w:pPr>
            <w:r>
              <w:rPr>
                <w:rFonts w:ascii="仿宋_GB2312" w:hAnsi="仿宋_GB2312" w:cs="仿宋_GB2312" w:eastAsia="仿宋_GB2312"/>
              </w:rPr>
              <w:t>单价合理性</w:t>
            </w:r>
          </w:p>
        </w:tc>
        <w:tc>
          <w:tcPr>
            <w:tcW w:type="dxa" w:w="2575"/>
          </w:tcPr>
          <w:p>
            <w:pPr>
              <w:pStyle w:val="null5"/>
              <w:jc w:val="left"/>
            </w:pPr>
            <w:r>
              <w:rPr>
                <w:rFonts w:ascii="仿宋_GB2312" w:hAnsi="仿宋_GB2312" w:cs="仿宋_GB2312" w:eastAsia="仿宋_GB2312"/>
              </w:rPr>
              <w:t>主要单价计算符合常规计算方法，单价合理，主要材料（设备）价格合理，由专家磋商小组评审后酌情打分，满分10分；评委根据供应商的综合单价组价情况、主要材料（设备）明细表及材料市场价格评审，明显不合理的（如明显低于市场平均价格、故意抬高报价、组价不合理、未按相关规定组价等）进行扣分，评委每发现一处不合理或明显不符市场价格或未按照相关规定组价的及未报主要材料品牌的扣0.1分，最多扣10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主要材料（设备）一览表</w:t>
            </w:r>
          </w:p>
          <w:p>
            <w:pPr>
              <w:pStyle w:val="null5"/>
              <w:jc w:val="left"/>
            </w:pPr>
            <w:r>
              <w:rPr>
                <w:rFonts w:ascii="仿宋_GB2312" w:hAnsi="仿宋_GB2312" w:cs="仿宋_GB2312" w:eastAsia="仿宋_GB2312"/>
              </w:rPr>
              <w:t>已标价的工程量清单</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（1）装修工程响应报价低于全部通过符合性审查供应商响应报价平均值50%的，即装修工程响应报价&lt;全部通过符合性审查供应商响应报价平均值×50%。 （2）装修工程响应报价低于通过符合性审查且报价次低供应商响应报价50%的，即装修工程响应报价&lt;通过符合性审查且报价次低供应商响应报价×50%。 （3）装修工程响应报价低于最高限价45%的，即装修工程响应报价&lt;最高限价×45%。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报价函及报价函附录</w:t>
            </w:r>
          </w:p>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已标价的工程量清单</w:t>
            </w:r>
          </w:p>
          <w:p>
            <w:pPr>
              <w:pStyle w:val="null5"/>
              <w:jc w:val="left"/>
            </w:pPr>
            <w:r>
              <w:rPr>
                <w:rFonts w:ascii="仿宋_GB2312" w:hAnsi="仿宋_GB2312" w:cs="仿宋_GB2312" w:eastAsia="仿宋_GB2312"/>
              </w:rPr>
              <w:t>主要材料（设备）一览表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磋商报价得分=磋商基准价/最终价格×20%×100，高于预算控制价的投标报价为无效报价。</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适用于节能、环保产品政策加分</w:t>
            </w:r>
          </w:p>
        </w:tc>
        <w:tc>
          <w:tcPr>
            <w:tcW w:type="dxa" w:w="2575"/>
          </w:tcPr>
          <w:p>
            <w:pPr>
              <w:pStyle w:val="null5"/>
              <w:jc w:val="left"/>
            </w:pPr>
            <w:r>
              <w:rPr>
                <w:rFonts w:ascii="仿宋_GB2312" w:hAnsi="仿宋_GB2312" w:cs="仿宋_GB2312" w:eastAsia="仿宋_GB2312"/>
              </w:rPr>
              <w:t>符合《财政部 发展改革委 生态环境部 市场监管总局关于调整优化节能产品、环境标志产品政府采购执行机制的通知》（财库〔2019〕9 号）、财政部、发展改革委《关于印发节能产品政府采购品目清单的通知》（财库〔2019〕19号）、财政部、生态环境部《关于印发环境标志产品政府采购品目清单的通知》（财库〔2019〕18号）等相关规定。 依据品目清单和认证证书实施政府优先采购和强制采购。采购人拟采购的产品属于品目清单范围的，依据国家确定的认证机构出具的、处于有效期之内的节能产品、环境标志产品认证证书，对获得证书的产品实施政府优先采购或强制采购。 对国家要求强制采购的节能产品实施强制采购，供应商必须投报经国家确定的认证机构认证的、处于有效期之内的节能产品，且响应文件中须提供强制采购的节能产品投标报价明细表，并附国家确定的认证机构出具的、处于有效期之内的节能（强制采购）产品认证证书等相关证明材料。 根据《山东省节能环保产品政府采购评审办法》（鲁财库〔2007〕32 号），山东省财政厅关于进一步优化政府采购营商环境激发市场活力的通知（鲁财采〔2026〕1号），采用综合评分法评审的项目，在满足基本技术条件的前提下，在价格评审项中，对节能、环境标志产品分别给予价格评标总分值的5%的加分；在技术评审项中，对节能、环境标志产品分别给予技术评标总分值的5%的加分。执行政府采购政策对报价进行扣除后的评审价格仅用于评审过程的报价得分计算或评审价格的比较，不作为最终的成交价格。 优先采购认证产品在响应文件中须提供节能产品报价明细表、环境标志产品报价明细表，并附国家确定的认证机构出具的、处于有效期之内的节能产品、环境标志产品认证证书等相关认证信息证明材料。评审专家应当核对供应商提供的认证信息，对提供的认证信息与相关指定网站公布的信息不一致或超出有效期的，应当按照相关规定和采购文件不得给予评审优惠。</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环境标志产品明细表</w:t>
            </w:r>
          </w:p>
          <w:p>
            <w:pPr>
              <w:pStyle w:val="null5"/>
              <w:jc w:val="left"/>
            </w:pPr>
            <w:r>
              <w:rPr>
                <w:rFonts w:ascii="仿宋_GB2312" w:hAnsi="仿宋_GB2312" w:cs="仿宋_GB2312" w:eastAsia="仿宋_GB2312"/>
              </w:rPr>
              <w:t>节能产品明细表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（1）装修工程响应报价低于全部通过符合性审查供应商响应报价平均值50%的，即装修工程响应报价&lt;全部通过符合性审查供应商响应报价平均值×50%。</w:t>
              <w:br/>
              <w:t>（2）装修工程响应报价低于通过符合性审查且报价次低供应商响应报价50%的，即装修工程响应报价&lt;通过符合性审查且报价次低供应商响应报价×50%。</w:t>
              <w:br/>
              <w:t>（3）装修工程响应报价低于最高限价45%的，即装修工程响应报价&lt;最高限价×45%。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详见附件：具有良好的商业信誉和健全的财务会计制度</w:t>
      </w:r>
    </w:p>
    <w:p>
      <w:pPr>
        <w:pStyle w:val="null5"/>
        <w:ind w:firstLine="960"/>
        <w:jc w:val="left"/>
      </w:pPr>
      <w:r>
        <w:rPr>
          <w:rFonts w:ascii="仿宋_GB2312" w:hAnsi="仿宋_GB2312" w:cs="仿宋_GB2312" w:eastAsia="仿宋_GB2312"/>
        </w:rPr>
        <w:t>详见附件：近三年内在经营活动中没有重大违法记录的书面声明</w:t>
      </w:r>
    </w:p>
    <w:p>
      <w:pPr>
        <w:pStyle w:val="null5"/>
        <w:ind w:firstLine="960"/>
        <w:jc w:val="left"/>
      </w:pPr>
      <w:r>
        <w:rPr>
          <w:rFonts w:ascii="仿宋_GB2312" w:hAnsi="仿宋_GB2312" w:cs="仿宋_GB2312" w:eastAsia="仿宋_GB2312"/>
        </w:rPr>
        <w:t>详见附件：依法缴纳税收和社会保障资金承诺函</w:t>
      </w:r>
    </w:p>
    <w:p>
      <w:pPr>
        <w:pStyle w:val="null5"/>
        <w:ind w:firstLine="960"/>
        <w:jc w:val="left"/>
      </w:pPr>
      <w:r>
        <w:rPr>
          <w:rFonts w:ascii="仿宋_GB2312" w:hAnsi="仿宋_GB2312" w:cs="仿宋_GB2312" w:eastAsia="仿宋_GB2312"/>
        </w:rPr>
        <w:t>详见附件：具有履行合同所必需的设备和专业技术能力的声明函</w:t>
      </w:r>
    </w:p>
    <w:p>
      <w:pPr>
        <w:pStyle w:val="null5"/>
        <w:ind w:firstLine="960"/>
        <w:jc w:val="left"/>
      </w:pPr>
      <w:r>
        <w:rPr>
          <w:rFonts w:ascii="仿宋_GB2312" w:hAnsi="仿宋_GB2312" w:cs="仿宋_GB2312" w:eastAsia="仿宋_GB2312"/>
        </w:rPr>
        <w:t>详见附件：供应商自觉抵制政府采购领域商业贿赂行为承诺书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详见附件：法定代表人身份证明（或法定代表人授权委托书）</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详见附件：其他相关文件</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详见附件：政府采购采购诚信承诺书</w:t>
      </w:r>
    </w:p>
    <w:p>
      <w:pPr>
        <w:pStyle w:val="null5"/>
        <w:ind w:firstLine="960"/>
        <w:jc w:val="left"/>
      </w:pPr>
      <w:r>
        <w:rPr>
          <w:rFonts w:ascii="仿宋_GB2312" w:hAnsi="仿宋_GB2312" w:cs="仿宋_GB2312" w:eastAsia="仿宋_GB2312"/>
        </w:rPr>
        <w:t>详见附件：财务状况</w:t>
      </w:r>
    </w:p>
    <w:p>
      <w:pPr>
        <w:pStyle w:val="null5"/>
        <w:ind w:firstLine="960"/>
        <w:jc w:val="left"/>
      </w:pPr>
      <w:r>
        <w:rPr>
          <w:rFonts w:ascii="仿宋_GB2312" w:hAnsi="仿宋_GB2312" w:cs="仿宋_GB2312" w:eastAsia="仿宋_GB2312"/>
        </w:rPr>
        <w:t>详见附件：不存在直接控股、管理关系的书面声明</w:t>
      </w:r>
    </w:p>
    <w:p>
      <w:pPr>
        <w:pStyle w:val="null5"/>
        <w:ind w:firstLine="960"/>
        <w:jc w:val="left"/>
      </w:pPr>
      <w:r>
        <w:rPr>
          <w:rFonts w:ascii="仿宋_GB2312" w:hAnsi="仿宋_GB2312" w:cs="仿宋_GB2312" w:eastAsia="仿宋_GB2312"/>
        </w:rPr>
        <w:t>详见附件：主要材料（设备）一览表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详见附件：强制节能产品明细表</w:t>
      </w:r>
    </w:p>
    <w:p>
      <w:pPr>
        <w:pStyle w:val="null5"/>
        <w:ind w:firstLine="960"/>
        <w:jc w:val="left"/>
      </w:pPr>
      <w:r>
        <w:rPr>
          <w:rFonts w:ascii="仿宋_GB2312" w:hAnsi="仿宋_GB2312" w:cs="仿宋_GB2312" w:eastAsia="仿宋_GB2312"/>
        </w:rPr>
        <w:t>详见附件：环境标志产品明细表</w:t>
      </w:r>
    </w:p>
    <w:p>
      <w:pPr>
        <w:pStyle w:val="null5"/>
        <w:ind w:firstLine="960"/>
        <w:jc w:val="left"/>
      </w:pPr>
      <w:r>
        <w:rPr>
          <w:rFonts w:ascii="仿宋_GB2312" w:hAnsi="仿宋_GB2312" w:cs="仿宋_GB2312" w:eastAsia="仿宋_GB2312"/>
        </w:rPr>
        <w:t>详见附件：节能产品明细表</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详见附件：项目管理机构</w:t>
      </w:r>
    </w:p>
    <w:p>
      <w:pPr>
        <w:pStyle w:val="null5"/>
        <w:ind w:firstLine="960"/>
        <w:jc w:val="left"/>
      </w:pPr>
      <w:r>
        <w:rPr>
          <w:rFonts w:ascii="仿宋_GB2312" w:hAnsi="仿宋_GB2312" w:cs="仿宋_GB2312" w:eastAsia="仿宋_GB2312"/>
        </w:rPr>
        <w:t>详见附件：拟派项目负责人承接的类似项目业绩</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详见附件：已标价的工程量清单</w:t>
      </w:r>
    </w:p>
    <w:p>
      <w:pPr>
        <w:pStyle w:val="null5"/>
        <w:ind w:firstLine="960"/>
        <w:jc w:val="left"/>
      </w:pPr>
      <w:r>
        <w:rPr>
          <w:rFonts w:ascii="仿宋_GB2312" w:hAnsi="仿宋_GB2312" w:cs="仿宋_GB2312" w:eastAsia="仿宋_GB2312"/>
        </w:rPr>
        <w:t>详见附件：依法缴纳税收和社会保障资金的相关材料</w:t>
      </w:r>
    </w:p>
    <w:p>
      <w:pPr>
        <w:pStyle w:val="null5"/>
        <w:ind w:firstLine="960"/>
        <w:jc w:val="left"/>
      </w:pPr>
      <w:r>
        <w:rPr>
          <w:rFonts w:ascii="仿宋_GB2312" w:hAnsi="仿宋_GB2312" w:cs="仿宋_GB2312" w:eastAsia="仿宋_GB2312"/>
        </w:rPr>
        <w:t>详见附件：施工组织设计</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详见附件：投标（响应）报价明细表</w:t>
      </w:r>
    </w:p>
    <w:p>
      <w:pPr>
        <w:pStyle w:val="null5"/>
        <w:ind w:firstLine="960"/>
        <w:jc w:val="left"/>
      </w:pPr>
      <w:r>
        <w:rPr>
          <w:rFonts w:ascii="仿宋_GB2312" w:hAnsi="仿宋_GB2312" w:cs="仿宋_GB2312" w:eastAsia="仿宋_GB2312"/>
        </w:rPr>
        <w:t>详见附件：报价函及报价函附录</w:t>
      </w:r>
    </w:p>
    <w:p>
      <w:pPr>
        <w:pStyle w:val="null5"/>
        <w:ind w:firstLine="960"/>
        <w:jc w:val="left"/>
      </w:pPr>
      <w:r>
        <w:rPr>
          <w:rFonts w:ascii="仿宋_GB2312" w:hAnsi="仿宋_GB2312" w:cs="仿宋_GB2312" w:eastAsia="仿宋_GB2312"/>
        </w:rPr>
        <w:t>详见附件：供应商银行开户情况</w:t>
      </w:r>
    </w:p>
    <w:p>
      <w:pPr>
        <w:pStyle w:val="null5"/>
        <w:ind w:firstLine="960"/>
        <w:jc w:val="left"/>
      </w:pPr>
      <w:r>
        <w:rPr>
          <w:rFonts w:ascii="仿宋_GB2312" w:hAnsi="仿宋_GB2312" w:cs="仿宋_GB2312" w:eastAsia="仿宋_GB2312"/>
        </w:rPr>
        <w:t>详见附件：供应商基本情况表</w:t>
      </w:r>
    </w:p>
    <w:p>
      <w:pPr>
        <w:pStyle w:val="null5"/>
        <w:ind w:firstLine="960"/>
        <w:jc w:val="left"/>
      </w:pPr>
      <w:r>
        <w:rPr>
          <w:rFonts w:ascii="仿宋_GB2312" w:hAnsi="仿宋_GB2312" w:cs="仿宋_GB2312" w:eastAsia="仿宋_GB2312"/>
        </w:rPr>
        <w:t>详见附件：项目管理人员情况表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