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EAB04">
      <w:pPr>
        <w:pStyle w:val="5"/>
        <w:keepNext w:val="0"/>
        <w:keepLines w:val="0"/>
        <w:widowControl/>
        <w:suppressLineNumbers w:val="0"/>
        <w:spacing w:before="0" w:beforeAutospacing="0" w:after="0" w:afterAutospacing="0"/>
        <w:ind w:left="0" w:right="0" w:firstLine="0"/>
        <w:jc w:val="center"/>
        <w:rPr>
          <w:rFonts w:hint="eastAsia" w:ascii="仿宋" w:hAnsi="仿宋" w:eastAsia="仿宋" w:cs="仿宋"/>
          <w:b/>
          <w:bCs/>
          <w:kern w:val="2"/>
          <w:sz w:val="40"/>
          <w:szCs w:val="40"/>
          <w:highlight w:val="none"/>
          <w:lang w:val="en-US" w:eastAsia="zh-CN" w:bidi="ar-SA"/>
        </w:rPr>
      </w:pPr>
      <w:r>
        <w:rPr>
          <w:rFonts w:hint="eastAsia"/>
          <w:b/>
          <w:bCs/>
          <w:sz w:val="36"/>
          <w:szCs w:val="36"/>
        </w:rPr>
        <w:t>山东第一医科大学国际教育学院学生公寓电表系统改造</w:t>
      </w:r>
      <w:r>
        <w:rPr>
          <w:rFonts w:hint="eastAsia"/>
          <w:b/>
          <w:bCs/>
          <w:sz w:val="36"/>
          <w:szCs w:val="36"/>
          <w:lang w:val="en-US" w:eastAsia="zh-CN"/>
        </w:rPr>
        <w:t>项目</w:t>
      </w:r>
      <w:r>
        <w:rPr>
          <w:rFonts w:hint="eastAsia" w:ascii="仿宋" w:hAnsi="仿宋" w:eastAsia="仿宋" w:cs="仿宋"/>
          <w:b/>
          <w:bCs/>
          <w:kern w:val="2"/>
          <w:sz w:val="40"/>
          <w:szCs w:val="40"/>
          <w:highlight w:val="none"/>
          <w:lang w:val="en-US" w:eastAsia="zh-CN" w:bidi="ar-SA"/>
        </w:rPr>
        <w:t>工程量清单编制说明</w:t>
      </w:r>
    </w:p>
    <w:p w14:paraId="5CB3C037">
      <w:pPr>
        <w:spacing w:line="240" w:lineRule="exact"/>
        <w:ind w:firstLine="480" w:firstLineChars="200"/>
        <w:jc w:val="left"/>
        <w:rPr>
          <w:rFonts w:ascii="仿宋" w:hAnsi="仿宋" w:eastAsia="仿宋" w:cs="仿宋"/>
          <w:sz w:val="24"/>
          <w:szCs w:val="24"/>
        </w:rPr>
      </w:pPr>
    </w:p>
    <w:p w14:paraId="32CE791D">
      <w:pPr>
        <w:numPr>
          <w:ilvl w:val="0"/>
          <w:numId w:val="1"/>
        </w:numPr>
        <w:spacing w:line="360" w:lineRule="auto"/>
        <w:ind w:firstLine="482" w:firstLineChars="200"/>
        <w:rPr>
          <w:rFonts w:ascii="仿宋" w:hAnsi="仿宋" w:eastAsia="仿宋" w:cs="仿宋"/>
          <w:b/>
          <w:bCs/>
          <w:sz w:val="24"/>
        </w:rPr>
      </w:pPr>
      <w:r>
        <w:rPr>
          <w:rFonts w:hint="eastAsia" w:ascii="仿宋" w:hAnsi="仿宋" w:eastAsia="仿宋" w:cs="仿宋"/>
          <w:b/>
          <w:bCs/>
          <w:sz w:val="24"/>
          <w:lang w:eastAsia="zh-CN"/>
        </w:rPr>
        <w:t>项目概况</w:t>
      </w:r>
    </w:p>
    <w:p w14:paraId="4C79679F">
      <w:pPr>
        <w:numPr>
          <w:ilvl w:val="0"/>
          <w:numId w:val="0"/>
        </w:numPr>
        <w:spacing w:line="360" w:lineRule="auto"/>
        <w:ind w:firstLine="660" w:firstLineChars="3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本项目为山东第一医科大学泰安校区国际教育学院学生公寓电表系统改造项目，包含公寓内智慧用电系统的安装及调试。</w:t>
      </w:r>
    </w:p>
    <w:p w14:paraId="723160AC">
      <w:pPr>
        <w:numPr>
          <w:ilvl w:val="0"/>
          <w:numId w:val="0"/>
        </w:numPr>
        <w:spacing w:line="360" w:lineRule="auto"/>
        <w:ind w:firstLine="720" w:firstLineChars="300"/>
        <w:rPr>
          <w:rFonts w:ascii="仿宋" w:hAnsi="仿宋" w:eastAsia="仿宋" w:cs="仿宋"/>
          <w:sz w:val="24"/>
        </w:rPr>
      </w:pPr>
      <w:r>
        <w:rPr>
          <w:rFonts w:hint="eastAsia" w:ascii="仿宋" w:hAnsi="仿宋" w:eastAsia="仿宋" w:cs="仿宋"/>
          <w:sz w:val="24"/>
          <w:lang w:eastAsia="zh-CN"/>
        </w:rPr>
        <w:t>二</w:t>
      </w:r>
      <w:r>
        <w:rPr>
          <w:rFonts w:hint="eastAsia" w:ascii="仿宋" w:hAnsi="仿宋" w:eastAsia="仿宋" w:cs="仿宋"/>
          <w:b/>
          <w:bCs/>
          <w:sz w:val="24"/>
          <w:lang w:eastAsia="zh-CN"/>
        </w:rPr>
        <w:t>、</w:t>
      </w:r>
      <w:r>
        <w:rPr>
          <w:rFonts w:hint="eastAsia" w:ascii="仿宋" w:hAnsi="仿宋" w:eastAsia="仿宋" w:cs="仿宋"/>
          <w:b/>
          <w:bCs/>
          <w:sz w:val="24"/>
        </w:rPr>
        <w:t>编制范围</w:t>
      </w:r>
    </w:p>
    <w:p w14:paraId="4FBA5CFE">
      <w:pPr>
        <w:spacing w:line="360" w:lineRule="auto"/>
        <w:ind w:firstLine="440" w:firstLineChars="200"/>
        <w:rPr>
          <w:rFonts w:ascii="仿宋" w:hAnsi="仿宋" w:eastAsia="仿宋" w:cs="仿宋"/>
          <w:sz w:val="24"/>
          <w:szCs w:val="24"/>
        </w:rPr>
      </w:pPr>
      <w:r>
        <w:rPr>
          <w:rFonts w:hint="eastAsia" w:ascii="仿宋" w:hAnsi="仿宋" w:eastAsia="仿宋" w:cs="仿宋"/>
          <w:color w:val="auto"/>
          <w:kern w:val="2"/>
          <w:sz w:val="22"/>
          <w:szCs w:val="22"/>
          <w:highlight w:val="none"/>
          <w:shd w:val="clear" w:color="auto" w:fill="auto"/>
          <w:lang w:val="en-US" w:eastAsia="zh-CN" w:bidi="ar-SA"/>
        </w:rPr>
        <w:t>编制范围包含泰安校区国际教育学院学生公寓内电表、断路器、配电箱等的更换，智慧用电系统的安装及调试、相关线路的敷设以及部分损坏线槽的更换。</w:t>
      </w:r>
    </w:p>
    <w:p w14:paraId="17A166C2">
      <w:pPr>
        <w:spacing w:line="360" w:lineRule="auto"/>
        <w:ind w:firstLine="482" w:firstLineChars="200"/>
        <w:rPr>
          <w:rFonts w:ascii="仿宋" w:hAnsi="仿宋" w:eastAsia="仿宋" w:cs="仿宋"/>
          <w:b/>
          <w:bCs/>
          <w:sz w:val="24"/>
        </w:rPr>
      </w:pPr>
      <w:r>
        <w:rPr>
          <w:rFonts w:hint="eastAsia" w:ascii="仿宋" w:hAnsi="仿宋" w:eastAsia="仿宋" w:cs="仿宋"/>
          <w:b/>
          <w:bCs/>
          <w:sz w:val="24"/>
          <w:lang w:eastAsia="zh-CN"/>
        </w:rPr>
        <w:t>三</w:t>
      </w:r>
      <w:r>
        <w:rPr>
          <w:rFonts w:hint="eastAsia" w:ascii="仿宋" w:hAnsi="仿宋" w:eastAsia="仿宋" w:cs="仿宋"/>
          <w:b/>
          <w:bCs/>
          <w:sz w:val="24"/>
        </w:rPr>
        <w:t>、编制依据</w:t>
      </w:r>
    </w:p>
    <w:p w14:paraId="712ED6CF">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（1）《建设工程工程量清单计价标准》（GB/T50500-2024）；</w:t>
      </w:r>
    </w:p>
    <w:p w14:paraId="577032EC">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（2）山东省《建设工程工程量清单计价标准》实施指引；</w:t>
      </w:r>
    </w:p>
    <w:p w14:paraId="315ECF71">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（3）山东省建设工程费用项目组成及计算规则（2025版）；</w:t>
      </w:r>
    </w:p>
    <w:p w14:paraId="0712F310">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（4）房屋建筑与装饰工程工程量计算规范（GB/T50854-2024）；</w:t>
      </w:r>
    </w:p>
    <w:p w14:paraId="30CC8C4D">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（5）通用安装工程工程量计算标准（GB/T50856-2024）；</w:t>
      </w:r>
    </w:p>
    <w:p w14:paraId="7DF1C14B">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6）《关于调整我市建设工程定额人工指导单价的通知》（泰建发〔2020〕16号文）；《关于调整我市房屋修缮及市政养护工程定额人工指导单价的通知》（泰建发〔2021〕10号文件）；山东省住房和城乡建设厅《关于发布建设工程造价计价依据的通知》（鲁建标字〔2025〕7号）；</w:t>
      </w:r>
    </w:p>
    <w:p w14:paraId="6DDBF9FA">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（7）山东省建筑工程消耗量定额（2025版）；</w:t>
      </w:r>
    </w:p>
    <w:p w14:paraId="3AA4A7E5">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（8）山东省安装工程消耗量定额（2025版）；</w:t>
      </w:r>
    </w:p>
    <w:p w14:paraId="20913855">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（9）山东省房屋修缮工程消耗量定额（2020版）；</w:t>
      </w:r>
    </w:p>
    <w:p w14:paraId="03B08D5C">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（10）省和市建设主管部门颁发的计价定额和计价管理办法及有关计价要求；</w:t>
      </w:r>
    </w:p>
    <w:p w14:paraId="6D047C7D">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（11）与建设项目相关的标准、规范，技术资料；</w:t>
      </w:r>
    </w:p>
    <w:p w14:paraId="7F11B2DE">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（12）工程施工相关图集、技术规范、施工做法说明等；</w:t>
      </w:r>
    </w:p>
    <w:p w14:paraId="67545B50">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（13）泰安造价管理部门下发的有关文件及影响工程造价的有关资料；</w:t>
      </w:r>
    </w:p>
    <w:p w14:paraId="32A6DC1F">
      <w:pPr>
        <w:spacing w:line="360" w:lineRule="auto"/>
        <w:ind w:firstLine="440" w:firstLineChars="200"/>
        <w:rPr>
          <w:rFonts w:hint="eastAsia" w:ascii="仿宋" w:hAnsi="仿宋" w:eastAsia="仿宋" w:cs="仿宋"/>
          <w:color w:val="auto"/>
          <w:kern w:val="2"/>
          <w:sz w:val="22"/>
          <w:szCs w:val="22"/>
          <w:highlight w:val="none"/>
          <w:shd w:val="clear" w:color="auto" w:fill="auto"/>
          <w:lang w:val="en-US" w:eastAsia="zh-CN" w:bidi="ar-SA"/>
        </w:rPr>
      </w:pPr>
      <w:r>
        <w:rPr>
          <w:rFonts w:hint="eastAsia" w:ascii="仿宋" w:hAnsi="仿宋" w:eastAsia="仿宋" w:cs="仿宋"/>
          <w:color w:val="auto"/>
          <w:kern w:val="2"/>
          <w:sz w:val="22"/>
          <w:szCs w:val="22"/>
          <w:highlight w:val="none"/>
          <w:shd w:val="clear" w:color="auto" w:fill="auto"/>
          <w:lang w:val="en-US" w:eastAsia="zh-CN" w:bidi="ar-SA"/>
        </w:rPr>
        <w:t>（14）建设单位的有关通知等相关资料。</w:t>
      </w:r>
    </w:p>
    <w:p w14:paraId="69642B80">
      <w:pPr>
        <w:numPr>
          <w:ilvl w:val="0"/>
          <w:numId w:val="0"/>
        </w:numPr>
        <w:autoSpaceDE w:val="0"/>
        <w:autoSpaceDN w:val="0"/>
        <w:adjustRightInd w:val="0"/>
        <w:snapToGrid w:val="0"/>
        <w:spacing w:line="360" w:lineRule="auto"/>
        <w:ind w:firstLine="480" w:firstLineChars="200"/>
        <w:jc w:val="left"/>
        <w:rPr>
          <w:rFonts w:hint="default"/>
          <w:lang w:val="en-US" w:eastAsia="zh-CN"/>
        </w:rPr>
      </w:pPr>
      <w:r>
        <w:rPr>
          <w:rFonts w:hint="eastAsia" w:ascii="仿宋_GB2312" w:hAnsi="仿宋_GB2312" w:eastAsia="仿宋_GB2312" w:cs="仿宋_GB2312"/>
          <w:color w:val="000000"/>
          <w:sz w:val="24"/>
          <w:lang w:val="en-US" w:eastAsia="zh-CN"/>
        </w:rPr>
        <w:t>（15）</w:t>
      </w:r>
      <w:r>
        <w:rPr>
          <w:rFonts w:hint="eastAsia" w:ascii="仿宋" w:hAnsi="仿宋" w:eastAsia="仿宋" w:cs="仿宋"/>
          <w:sz w:val="24"/>
          <w:szCs w:val="24"/>
          <w:lang w:val="en-US" w:eastAsia="zh-CN"/>
        </w:rPr>
        <w:t>材料价格：执行信息价及市场价。</w:t>
      </w:r>
    </w:p>
    <w:p w14:paraId="7D529FF4">
      <w:pPr>
        <w:numPr>
          <w:ilvl w:val="-1"/>
          <w:numId w:val="0"/>
        </w:num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投标报价要求</w:t>
      </w:r>
    </w:p>
    <w:p w14:paraId="43939548">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lang w:val="zh-CN" w:eastAsia="zh-CN"/>
        </w:rPr>
        <w:t>金额（价格）均应以“人民币”表示。</w:t>
      </w:r>
    </w:p>
    <w:p w14:paraId="713D241C">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lang w:val="zh-CN" w:eastAsia="zh-CN"/>
        </w:rPr>
        <w:t>本工程采用固定综合单价的承包方式，供应商报价应依据工程特点、市场行情价及本单位具体情况编制，除非合同中另有规定，供应商所报价格均包括：临时工程与设施、驻地建设费用、拆除及垃圾清运劳务、装卸、机械、施工现场及周边社会关系协调费、各项措施</w:t>
      </w:r>
      <w:r>
        <w:rPr>
          <w:rFonts w:hint="eastAsia" w:ascii="仿宋_GB2312" w:hAnsi="仿宋_GB2312" w:eastAsia="仿宋_GB2312" w:cs="仿宋_GB2312"/>
          <w:color w:val="000000"/>
          <w:sz w:val="24"/>
          <w:highlight w:val="none"/>
          <w:lang w:val="zh-CN" w:eastAsia="zh-CN"/>
        </w:rPr>
        <w:t>费用、</w:t>
      </w:r>
      <w:r>
        <w:rPr>
          <w:rFonts w:hint="eastAsia" w:ascii="仿宋_GB2312" w:hAnsi="仿宋_GB2312" w:eastAsia="仿宋_GB2312" w:cs="仿宋_GB2312"/>
          <w:color w:val="000000"/>
          <w:sz w:val="24"/>
          <w:highlight w:val="none"/>
          <w:lang w:val="en-US" w:eastAsia="zh-CN"/>
        </w:rPr>
        <w:t>材料试验费、</w:t>
      </w:r>
      <w:r>
        <w:rPr>
          <w:rFonts w:hint="eastAsia" w:ascii="仿宋_GB2312" w:hAnsi="仿宋_GB2312" w:eastAsia="仿宋_GB2312" w:cs="仿宋_GB2312"/>
          <w:color w:val="000000"/>
          <w:sz w:val="24"/>
          <w:lang w:val="zh-CN" w:eastAsia="zh-CN"/>
        </w:rPr>
        <w:t>管理、保险、利润、专利技术和特殊工艺、税费、政策性文件规定、</w:t>
      </w:r>
      <w:r>
        <w:rPr>
          <w:rFonts w:hint="eastAsia" w:ascii="仿宋_GB2312" w:hAnsi="仿宋_GB2312" w:eastAsia="仿宋_GB2312" w:cs="仿宋_GB2312"/>
          <w:color w:val="000000"/>
          <w:sz w:val="24"/>
          <w:lang w:val="en-US" w:eastAsia="zh-CN"/>
        </w:rPr>
        <w:t>招标</w:t>
      </w:r>
      <w:r>
        <w:rPr>
          <w:rFonts w:hint="eastAsia" w:ascii="仿宋_GB2312" w:hAnsi="仿宋_GB2312" w:eastAsia="仿宋_GB2312" w:cs="仿宋_GB2312"/>
          <w:color w:val="000000"/>
          <w:sz w:val="24"/>
          <w:lang w:val="zh-CN" w:eastAsia="zh-CN"/>
        </w:rPr>
        <w:t>代理费等合同明示或暗示的所有责任、义务、风险。</w:t>
      </w:r>
    </w:p>
    <w:p w14:paraId="2BEE11E7">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lang w:val="zh-CN" w:eastAsia="zh-CN"/>
        </w:rPr>
        <w:t>关于质量、工期、服务、优惠条件等方面的承诺凡涉及价格的优惠，一律在综合报价中体现。</w:t>
      </w:r>
    </w:p>
    <w:p w14:paraId="2471DD48">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lang w:val="zh-CN" w:eastAsia="zh-CN"/>
        </w:rPr>
        <w:t>工程量清单中列明的所有需要填写的单价和合价，供应商均应填写；未填写的单价和合价，视为已包括在工程量清单的其它工程细目的单价和合价中。施工时，承包人必须完成工程量清单中未填入单价或合价的工程细目，但不能得到结算与支付。</w:t>
      </w:r>
    </w:p>
    <w:p w14:paraId="1F77410A">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5.</w:t>
      </w:r>
      <w:r>
        <w:rPr>
          <w:rFonts w:hint="eastAsia" w:ascii="仿宋_GB2312" w:hAnsi="仿宋_GB2312" w:eastAsia="仿宋_GB2312" w:cs="仿宋_GB2312"/>
          <w:color w:val="000000"/>
          <w:sz w:val="24"/>
          <w:lang w:val="zh-CN" w:eastAsia="zh-CN"/>
        </w:rPr>
        <w:t>工程量清单计价所涉及的生产资源(包括各类人工、材料、工程设备、施工设备、临时设施、临时用水、临时用电等)的投标价格，应根据自身的信息渠道和采购渠道，分析其市场价格水平并判断其整个施工周期内的变化趋势，体现供应商自身的管理水平、技术水平和综合实力。</w:t>
      </w:r>
    </w:p>
    <w:p w14:paraId="67551B02">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lang w:val="zh-CN" w:eastAsia="zh-CN"/>
        </w:rPr>
        <w:t>管理费应由供应商在保证不低于其成本的基础上做竞争性考虑；利润由供应商根据自身情况和综合实力做竞争性考虑。</w:t>
      </w:r>
    </w:p>
    <w:p w14:paraId="26BB73C2">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lang w:val="zh-CN" w:eastAsia="zh-CN"/>
        </w:rPr>
        <w:t>投标报价中应考虑</w:t>
      </w:r>
      <w:r>
        <w:rPr>
          <w:rFonts w:hint="eastAsia" w:ascii="仿宋_GB2312" w:hAnsi="仿宋_GB2312" w:eastAsia="仿宋_GB2312" w:cs="仿宋_GB2312"/>
          <w:color w:val="000000"/>
          <w:sz w:val="24"/>
          <w:lang w:val="en-US" w:eastAsia="zh-CN"/>
        </w:rPr>
        <w:t>磋商</w:t>
      </w:r>
      <w:r>
        <w:rPr>
          <w:rFonts w:hint="eastAsia" w:ascii="仿宋_GB2312" w:hAnsi="仿宋_GB2312" w:eastAsia="仿宋_GB2312" w:cs="仿宋_GB2312"/>
          <w:color w:val="000000"/>
          <w:sz w:val="24"/>
          <w:lang w:val="zh-CN" w:eastAsia="zh-CN"/>
        </w:rPr>
        <w:t>文件中要求供应商承担的风险范围以及相关的费用。</w:t>
      </w:r>
    </w:p>
    <w:p w14:paraId="1258AA3A">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8.</w:t>
      </w:r>
      <w:r>
        <w:rPr>
          <w:rFonts w:hint="eastAsia" w:ascii="仿宋_GB2312" w:hAnsi="仿宋_GB2312" w:eastAsia="仿宋_GB2312" w:cs="仿宋_GB2312"/>
          <w:color w:val="000000"/>
          <w:sz w:val="24"/>
          <w:lang w:val="zh-CN" w:eastAsia="zh-CN"/>
        </w:rPr>
        <w:t>投标总价为供应商在响应文件中提出的各项支付金额的总和，为实施、完成招标工程并修补缺陷以及履行</w:t>
      </w:r>
      <w:r>
        <w:rPr>
          <w:rFonts w:hint="eastAsia" w:ascii="仿宋_GB2312" w:hAnsi="仿宋_GB2312" w:eastAsia="仿宋_GB2312" w:cs="仿宋_GB2312"/>
          <w:color w:val="000000"/>
          <w:sz w:val="24"/>
          <w:lang w:val="en-US" w:eastAsia="zh-CN"/>
        </w:rPr>
        <w:t>磋商</w:t>
      </w:r>
      <w:r>
        <w:rPr>
          <w:rFonts w:hint="eastAsia" w:ascii="仿宋_GB2312" w:hAnsi="仿宋_GB2312" w:eastAsia="仿宋_GB2312" w:cs="仿宋_GB2312"/>
          <w:color w:val="000000"/>
          <w:sz w:val="24"/>
          <w:lang w:val="zh-CN" w:eastAsia="zh-CN"/>
        </w:rPr>
        <w:t>文件中约定的风险范围内的所有责任和义务所发生的全部费用。</w:t>
      </w:r>
    </w:p>
    <w:p w14:paraId="583CFE37">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9.</w:t>
      </w:r>
      <w:r>
        <w:rPr>
          <w:rFonts w:hint="eastAsia" w:ascii="仿宋_GB2312" w:hAnsi="仿宋_GB2312" w:eastAsia="仿宋_GB2312" w:cs="仿宋_GB2312"/>
          <w:color w:val="000000"/>
          <w:sz w:val="24"/>
          <w:lang w:val="zh-CN" w:eastAsia="zh-CN"/>
        </w:rPr>
        <w:t xml:space="preserve">供应商若认为清单细化的做法无法满足现场施工，招标答疑时提出，答疑未提出的视为供应商认可清单做法并将有可能额外发生的做法及其费用综合考虑在投标报价中，供应商不得以清单不详尽为由额外增加任何费用。 </w:t>
      </w:r>
    </w:p>
    <w:p w14:paraId="71E0D09C">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供应商参与投标视为已考察工程现场，对现场情况（包括工地位置情况、道路、存贮空间、装运限制及任何其他足以影响报价的情况）已较为了解和充分预计，并能根据情况合理组织完成施工。现场实际情况（包括与其他专业施工单位交接过程中的各种因素）视为在报价中已充分考虑，任何因忽视或误解工地情况而导致的索赔或工期延长将不被批准。</w:t>
      </w:r>
    </w:p>
    <w:p w14:paraId="43FAFAE4">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11.项目编码、项目名称、项目特征、计量单位和工程数量必须按磋商文件提供的分部分项工程量清单中的相应内容填写，不得增加或减少，不得变更项目名称和序号，任何内容不得随意删除或涂改。</w:t>
      </w:r>
    </w:p>
    <w:p w14:paraId="553D0FD9">
      <w:pPr>
        <w:numPr>
          <w:ilvl w:val="0"/>
          <w:numId w:val="0"/>
        </w:numPr>
        <w:autoSpaceDE w:val="0"/>
        <w:autoSpaceDN w:val="0"/>
        <w:adjustRightInd w:val="0"/>
        <w:snapToGrid w:val="0"/>
        <w:spacing w:line="360" w:lineRule="auto"/>
        <w:ind w:firstLine="480" w:firstLineChars="200"/>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12.本项目投标报价时需满足满足泰安市城管局、蓝天指挥部对雾霾天气管理要求，发生的停工费用，渣土外运、垃圾处理、10个100%等费用，综合考虑在报价中，结算时不得调整。</w:t>
      </w:r>
    </w:p>
    <w:p w14:paraId="2784416E">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zh-CN" w:eastAsia="zh-CN"/>
        </w:rPr>
      </w:pPr>
      <w:r>
        <w:rPr>
          <w:rFonts w:hint="eastAsia" w:ascii="仿宋_GB2312" w:hAnsi="仿宋_GB2312" w:eastAsia="仿宋_GB2312" w:cs="仿宋_GB2312"/>
          <w:color w:val="000000"/>
          <w:sz w:val="24"/>
          <w:lang w:val="en-US" w:eastAsia="zh-CN"/>
        </w:rPr>
        <w:t>13、本说明未尽事宜，以计价规范、工程量计算规范、计价管理办法、磋商文件</w:t>
      </w:r>
      <w:r>
        <w:rPr>
          <w:rFonts w:hint="eastAsia" w:ascii="仿宋_GB2312" w:hAnsi="仿宋_GB2312" w:eastAsia="仿宋_GB2312" w:cs="仿宋_GB2312"/>
          <w:color w:val="000000"/>
          <w:sz w:val="24"/>
          <w:lang w:val="zh-CN" w:eastAsia="zh-CN"/>
        </w:rPr>
        <w:t>以及有关的法律、法规、建设行政主管部门颁发的文件为准。</w:t>
      </w:r>
    </w:p>
    <w:p w14:paraId="2BA849AB">
      <w:pPr>
        <w:numPr>
          <w:ilvl w:val="0"/>
          <w:numId w:val="0"/>
        </w:numPr>
        <w:autoSpaceDE w:val="0"/>
        <w:autoSpaceDN w:val="0"/>
        <w:adjustRightInd w:val="0"/>
        <w:snapToGrid w:val="0"/>
        <w:spacing w:line="360" w:lineRule="auto"/>
        <w:ind w:firstLine="480" w:firstLineChars="200"/>
        <w:jc w:val="left"/>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14.供应商负责已完工程的成品保护及施工场地周围建筑物、构筑物、地下管线及花木的保护，费用由供应商承担。</w:t>
      </w:r>
    </w:p>
    <w:p w14:paraId="6CF7A2E7">
      <w:pPr>
        <w:numPr>
          <w:ilvl w:val="0"/>
          <w:numId w:val="0"/>
        </w:numPr>
        <w:autoSpaceDE w:val="0"/>
        <w:autoSpaceDN w:val="0"/>
        <w:adjustRightInd w:val="0"/>
        <w:snapToGrid w:val="0"/>
        <w:spacing w:line="360" w:lineRule="auto"/>
        <w:ind w:firstLine="480" w:firstLineChars="200"/>
        <w:jc w:val="left"/>
        <w:rPr>
          <w:rFonts w:hint="default"/>
          <w:lang w:val="en-US" w:eastAsia="zh-CN"/>
        </w:rPr>
      </w:pPr>
      <w:r>
        <w:rPr>
          <w:rFonts w:hint="eastAsia" w:ascii="仿宋_GB2312" w:hAnsi="仿宋_GB2312" w:eastAsia="仿宋_GB2312" w:cs="仿宋_GB2312"/>
          <w:color w:val="000000"/>
          <w:sz w:val="24"/>
          <w:lang w:val="en-US" w:eastAsia="zh-CN"/>
        </w:rPr>
        <w:t>15.供应商投标报价时对建设项目工伤保险费仅需填入对应保险费金额，无需对计算基础和费率进行竞争性报价，该费用在结算时凭有效票据计入。</w:t>
      </w:r>
      <w:bookmarkStart w:id="0" w:name="_GoBack"/>
      <w:bookmarkEnd w:id="0"/>
    </w:p>
    <w:p w14:paraId="6BA45765">
      <w:pPr>
        <w:numPr>
          <w:ilvl w:val="-1"/>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w:t>
      </w:r>
      <w:r>
        <w:rPr>
          <w:rFonts w:hint="eastAsia" w:ascii="仿宋" w:hAnsi="仿宋" w:eastAsia="仿宋" w:cs="仿宋"/>
          <w:b/>
          <w:bCs/>
          <w:sz w:val="24"/>
          <w:szCs w:val="24"/>
          <w:lang w:val="en-US" w:eastAsia="zh-CN"/>
        </w:rPr>
        <w:t>、具体说明</w:t>
      </w:r>
    </w:p>
    <w:p w14:paraId="4937C920">
      <w:pPr>
        <w:numPr>
          <w:ilvl w:val="-1"/>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（一）综合说明</w:t>
      </w:r>
    </w:p>
    <w:p w14:paraId="0F01892F">
      <w:pPr>
        <w:pStyle w:val="8"/>
        <w:ind w:firstLine="56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1.供应商自行踏勘现场，因施工场地因素导致材料发生的多次倒运费用以及其他费用，均不再单独记取，供应商将由此发生的所有相关费用综合考虑在投标报价中；</w:t>
      </w:r>
    </w:p>
    <w:p w14:paraId="384324AF">
      <w:pPr>
        <w:pStyle w:val="8"/>
        <w:ind w:firstLine="56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2.本项目由相关部门进行验收的，验收、检测费用综合考虑到报价中，不再记取；</w:t>
      </w:r>
    </w:p>
    <w:p w14:paraId="29D506A5">
      <w:pPr>
        <w:pStyle w:val="8"/>
        <w:ind w:firstLine="56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3.施工所需水、电、通讯等管网线路，由承包人自行解决并承担费用。</w:t>
      </w:r>
    </w:p>
    <w:p w14:paraId="1A535740">
      <w:pPr>
        <w:pStyle w:val="8"/>
        <w:spacing w:line="500" w:lineRule="exact"/>
        <w:ind w:firstLine="562"/>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（二）工程量清单填列说明</w:t>
      </w:r>
    </w:p>
    <w:p w14:paraId="6DA026E8">
      <w:pPr>
        <w:pStyle w:val="8"/>
        <w:ind w:firstLine="56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1.本工程除特别说明外，所有主要材料，施工前须提供样品，经甲方同意后方可施工。</w:t>
      </w:r>
    </w:p>
    <w:p w14:paraId="0B273F0E">
      <w:pPr>
        <w:pStyle w:val="8"/>
        <w:spacing w:line="500" w:lineRule="exact"/>
        <w:ind w:firstLine="56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2.施工过程中做好已完工程成品保护，因施工造成的二次污染发生的恢复或返工费用由施工单位自行承担，甲方不再额外支付。</w:t>
      </w:r>
    </w:p>
    <w:p w14:paraId="0450D9FC">
      <w:pPr>
        <w:pStyle w:val="8"/>
        <w:spacing w:line="500" w:lineRule="exact"/>
        <w:ind w:firstLine="560"/>
        <w:rPr>
          <w:rFonts w:hint="default" w:ascii="仿宋_GB2312" w:hAnsi="仿宋_GB2312" w:eastAsia="仿宋_GB2312" w:cs="仿宋_GB2312"/>
          <w:b/>
          <w:bCs/>
          <w:color w:val="000000"/>
          <w:kern w:val="2"/>
          <w:sz w:val="24"/>
          <w:szCs w:val="24"/>
          <w:highlight w:val="none"/>
          <w:lang w:val="en-US" w:eastAsia="zh-CN" w:bidi="ar-SA"/>
        </w:rPr>
      </w:pPr>
      <w:r>
        <w:rPr>
          <w:rFonts w:hint="eastAsia" w:ascii="仿宋_GB2312" w:hAnsi="仿宋_GB2312" w:eastAsia="仿宋_GB2312" w:cs="仿宋_GB2312"/>
          <w:color w:val="000000"/>
          <w:kern w:val="2"/>
          <w:sz w:val="24"/>
          <w:szCs w:val="24"/>
          <w:highlight w:val="none"/>
          <w:lang w:val="en-US" w:eastAsia="zh-CN" w:bidi="ar-SA"/>
        </w:rPr>
        <w:t>六、</w:t>
      </w:r>
      <w:r>
        <w:rPr>
          <w:rFonts w:hint="eastAsia" w:ascii="仿宋_GB2312" w:hAnsi="仿宋_GB2312" w:eastAsia="仿宋_GB2312" w:cs="仿宋_GB2312"/>
          <w:b/>
          <w:bCs/>
          <w:color w:val="000000"/>
          <w:kern w:val="2"/>
          <w:sz w:val="24"/>
          <w:szCs w:val="24"/>
          <w:highlight w:val="none"/>
          <w:lang w:val="en-US" w:eastAsia="zh-CN" w:bidi="ar-SA"/>
        </w:rPr>
        <w:t>注意事项</w:t>
      </w:r>
    </w:p>
    <w:p w14:paraId="043C6765">
      <w:pPr>
        <w:pStyle w:val="8"/>
        <w:ind w:left="0" w:leftChars="0" w:firstLine="0" w:firstLineChars="0"/>
        <w:rPr>
          <w:rFonts w:hint="eastAsia" w:ascii="仿宋" w:hAnsi="仿宋" w:eastAsia="仿宋"/>
          <w:sz w:val="24"/>
          <w:szCs w:val="24"/>
        </w:rPr>
      </w:pPr>
      <w:r>
        <w:rPr>
          <w:rFonts w:hint="eastAsia" w:ascii="仿宋" w:hAnsi="仿宋" w:eastAsia="仿宋"/>
          <w:sz w:val="24"/>
          <w:szCs w:val="24"/>
        </w:rPr>
        <w:t>(1)施工前家具、门窗等拆除搬至指定地点，施工完成后上述内容恢复至原貌;施工过程中需对已有电气线路、水暖管路等的保护，施工时损坏需原样恢复。</w:t>
      </w:r>
    </w:p>
    <w:p w14:paraId="48D29C8D">
      <w:pPr>
        <w:pStyle w:val="8"/>
        <w:ind w:left="0" w:leftChars="0" w:firstLine="0" w:firstLineChars="0"/>
        <w:rPr>
          <w:rFonts w:hint="eastAsia" w:ascii="仿宋" w:hAnsi="仿宋" w:eastAsia="仿宋"/>
          <w:sz w:val="24"/>
          <w:szCs w:val="24"/>
        </w:rPr>
      </w:pPr>
      <w:r>
        <w:rPr>
          <w:rFonts w:hint="eastAsia" w:ascii="仿宋" w:hAnsi="仿宋" w:eastAsia="仿宋"/>
          <w:sz w:val="24"/>
          <w:szCs w:val="24"/>
        </w:rPr>
        <w:t>(2)本项目拆除部位上的附着物按照</w:t>
      </w:r>
      <w:r>
        <w:rPr>
          <w:rFonts w:hint="eastAsia" w:ascii="仿宋" w:hAnsi="仿宋" w:eastAsia="仿宋"/>
          <w:sz w:val="24"/>
          <w:szCs w:val="24"/>
          <w:lang w:val="en-US" w:eastAsia="zh-CN"/>
        </w:rPr>
        <w:t>采购人</w:t>
      </w:r>
      <w:r>
        <w:rPr>
          <w:rFonts w:hint="eastAsia" w:ascii="仿宋" w:hAnsi="仿宋" w:eastAsia="仿宋"/>
          <w:sz w:val="24"/>
          <w:szCs w:val="24"/>
        </w:rPr>
        <w:t>要求保护拆除后待施工完毕重新安装并保证使用功能(包括但不限于消防设施，烟感、喷淋、应急照明灯、火灾报警系统、监控、电线、标识标牌等)</w:t>
      </w:r>
    </w:p>
    <w:p w14:paraId="095162A2">
      <w:pPr>
        <w:pStyle w:val="8"/>
        <w:ind w:left="0" w:leftChars="0" w:firstLine="0" w:firstLineChars="0"/>
        <w:rPr>
          <w:rFonts w:hint="eastAsia" w:ascii="仿宋" w:hAnsi="仿宋" w:eastAsia="仿宋"/>
          <w:sz w:val="24"/>
          <w:szCs w:val="24"/>
        </w:rPr>
      </w:pPr>
      <w:r>
        <w:rPr>
          <w:rFonts w:hint="eastAsia" w:ascii="仿宋" w:hAnsi="仿宋" w:eastAsia="仿宋"/>
          <w:sz w:val="24"/>
          <w:szCs w:val="24"/>
        </w:rPr>
        <w:t>(3)施工完成后需对整个项目进行竣工清理及深度保洁，垃圾全部清理完毕(含装车、外运、运距及堆放场地)，且通过甲方的组织验收，满足甲方的使用需求。</w:t>
      </w:r>
    </w:p>
    <w:p w14:paraId="585F452B">
      <w:pPr>
        <w:pStyle w:val="8"/>
        <w:ind w:left="0" w:leftChars="0" w:firstLine="0" w:firstLineChars="0"/>
        <w:rPr>
          <w:rFonts w:hint="eastAsia" w:ascii="仿宋_GB2312" w:hAnsi="仿宋_GB2312" w:eastAsia="仿宋_GB2312" w:cs="仿宋_GB2312"/>
          <w:color w:val="000000"/>
          <w:kern w:val="2"/>
          <w:sz w:val="24"/>
          <w:szCs w:val="24"/>
          <w:lang w:val="en-US" w:eastAsia="zh-CN" w:bidi="ar-SA"/>
        </w:rPr>
      </w:pPr>
      <w:r>
        <w:rPr>
          <w:rFonts w:hint="eastAsia" w:ascii="仿宋" w:hAnsi="仿宋" w:eastAsia="仿宋"/>
          <w:sz w:val="24"/>
          <w:szCs w:val="24"/>
        </w:rPr>
        <w:t>注:以上费用均在报价中综合考虑不另行计算。</w:t>
      </w:r>
    </w:p>
    <w:p w14:paraId="0C250B0A"/>
    <w:sectPr>
      <w:footerReference r:id="rId3" w:type="default"/>
      <w:pgSz w:w="11906" w:h="16838"/>
      <w:pgMar w:top="1440" w:right="1474" w:bottom="1440" w:left="1587"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9A6B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4"/>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5876CD4F">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AOCxemCgIAAAEEAAAOAAAAAAAAAAEAIAAAAB8BAABk&#10;cnMvZTJvRG9jLnhtbFBLBQYAAAAABgAGAFkBAACbBQAAAAA=&#10;">
              <v:fill on="f" focussize="0,0"/>
              <v:stroke on="f"/>
              <v:imagedata o:title=""/>
              <o:lock v:ext="edit" aspectratio="f"/>
              <v:textbox inset="0mm,0mm,0mm,0mm" style="mso-fit-shape-to-text:t;">
                <w:txbxContent>
                  <w:p w14:paraId="5876CD4F">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CF84FC"/>
    <w:multiLevelType w:val="singleLevel"/>
    <w:tmpl w:val="77CF84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61678"/>
    <w:rsid w:val="0490242D"/>
    <w:rsid w:val="12DB23CC"/>
    <w:rsid w:val="235C7F06"/>
    <w:rsid w:val="2893570A"/>
    <w:rsid w:val="30BA6CFD"/>
    <w:rsid w:val="470C41F8"/>
    <w:rsid w:val="49766C22"/>
    <w:rsid w:val="50C033CC"/>
    <w:rsid w:val="513B4C88"/>
    <w:rsid w:val="51F92BB5"/>
    <w:rsid w:val="66B51316"/>
    <w:rsid w:val="748B1EA9"/>
    <w:rsid w:val="766C6F2C"/>
    <w:rsid w:val="76C30A59"/>
    <w:rsid w:val="7CC80211"/>
    <w:rsid w:val="7E0D52D2"/>
    <w:rsid w:val="7FFE1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uiPriority w:val="0"/>
    <w:pPr>
      <w:ind w:firstLine="420" w:firstLineChars="200"/>
    </w:pPr>
  </w:style>
  <w:style w:type="paragraph" w:customStyle="1" w:styleId="3">
    <w:name w:val="BodyTextIndent"/>
    <w:basedOn w:val="1"/>
    <w:qFormat/>
    <w:uiPriority w:val="0"/>
    <w:pPr>
      <w:spacing w:after="120"/>
      <w:ind w:left="420" w:leftChars="200"/>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99"/>
    <w:pPr>
      <w:spacing w:beforeAutospacing="1" w:afterAutospacing="1"/>
      <w:jc w:val="left"/>
    </w:pPr>
    <w:rPr>
      <w:kern w:val="0"/>
      <w:sz w:val="24"/>
    </w:rPr>
  </w:style>
  <w:style w:type="paragraph" w:customStyle="1" w:styleId="8">
    <w:name w:val="首行缩进"/>
    <w:basedOn w:val="1"/>
    <w:qFormat/>
    <w:uiPriority w:val="99"/>
    <w:pPr>
      <w:spacing w:line="360" w:lineRule="auto"/>
      <w:ind w:firstLine="480" w:firstLineChars="200"/>
    </w:pPr>
    <w:rPr>
      <w:rFonts w:ascii="宋体" w:hAnsi="宋体" w:cs="宋体"/>
      <w:kern w:val="0"/>
      <w:sz w:val="24"/>
    </w:rPr>
  </w:style>
  <w:style w:type="character" w:customStyle="1" w:styleId="9">
    <w:name w:val="NormalCharacter"/>
    <w:qFormat/>
    <w:locked/>
    <w:uiPriority w:val="0"/>
    <w:rPr>
      <w:rFonts w:ascii="Times New Roman" w:hAnsi="Times New Roman" w:eastAsia="宋体" w:cs="Times New Roman"/>
      <w:kern w:val="2"/>
      <w:sz w:val="21"/>
      <w:szCs w:val="24"/>
      <w:lang w:val="en-US" w:eastAsia="zh-CN" w:bidi="ar-SA"/>
    </w:rPr>
  </w:style>
  <w:style w:type="paragraph" w:customStyle="1" w:styleId="10">
    <w:name w:val="无间隔1"/>
    <w:qFormat/>
    <w:uiPriority w:val="0"/>
    <w:pPr>
      <w:widowControl w:val="0"/>
      <w:jc w:val="both"/>
    </w:pPr>
    <w:rPr>
      <w:rFonts w:ascii="Calibri" w:hAnsi="Calibri" w:eastAsia="等线" w:cs="等线"/>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2306</Words>
  <Characters>2407</Characters>
  <Lines>0</Lines>
  <Paragraphs>0</Paragraphs>
  <TotalTime>0</TotalTime>
  <ScaleCrop>false</ScaleCrop>
  <LinksUpToDate>false</LinksUpToDate>
  <CharactersWithSpaces>2408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2025-06-05T02:05:00Z</dcterms:created>
  <dc:creator>杜义祥</dc:creator>
  <cp:lastModifiedBy>丁广圆</cp:lastModifiedBy>
  <dcterms:modified xsi:type="dcterms:W3CDTF">2026-07-03T04:42:08Z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eyJoZGlkIjoiY2UyY2ZhZDVkZDQ3NjI0OTY0NTU2OWMxODEyZjA0MzAiLCJ1c2VySWQiOiI0NDM2MjgyMzkifQ==</vt:lpwstr>
  </property>
  <property fmtid="{D5CDD505-2E9C-101B-9397-08002B2CF9AE}" pid="4" name="ICV">
    <vt:lpwstr>E6BF81CB587F4DBCA32E440CB1D1C3AD_12</vt:lpwstr>
  </property>
</Properties>
</file>