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1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377"/>
      </w:tblGrid>
      <w:tr w14:paraId="08AA0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CDB5E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实施方案</w:t>
            </w:r>
          </w:p>
          <w:p w14:paraId="496C87FE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分）</w:t>
            </w:r>
          </w:p>
        </w:tc>
        <w:tc>
          <w:tcPr>
            <w:tcW w:w="35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98B7A6">
            <w:pPr>
              <w:spacing w:line="360" w:lineRule="auto"/>
              <w:ind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根据供应商提供的实施方案进行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综合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评审，包括①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实施进度计划安排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安装调试方案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③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系统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应急预案④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以上四项满分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每缺一项扣2分，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每发现一处瑕疵扣1分，扣完为止，未提供不得分。</w:t>
            </w:r>
          </w:p>
        </w:tc>
      </w:tr>
    </w:tbl>
    <w:p w14:paraId="4990BA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2D2603"/>
    <w:rsid w:val="2903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EastAsia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2026-06-03T01:07:56Z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