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16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8"/>
        <w:gridCol w:w="7377"/>
      </w:tblGrid>
      <w:tr w14:paraId="7594E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68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CBFA18">
            <w:pPr>
              <w:spacing w:line="360" w:lineRule="auto"/>
              <w:ind w:firstLine="0" w:firstLineChars="0"/>
              <w:jc w:val="center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售后服务（4分）</w:t>
            </w:r>
          </w:p>
        </w:tc>
        <w:tc>
          <w:tcPr>
            <w:tcW w:w="3533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AF22D">
            <w:pPr>
              <w:spacing w:line="360" w:lineRule="auto"/>
              <w:ind w:firstLine="0" w:firstLineChars="0"/>
              <w:jc w:val="both"/>
              <w:textAlignment w:val="baseline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根据供应商提供的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售后服务进行综合评审，包含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①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服务体系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②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培训方案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③服务响应④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技术支持，以上四项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满分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分，每发现一处瑕疵扣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分，扣完为止。</w:t>
            </w:r>
          </w:p>
        </w:tc>
      </w:tr>
    </w:tbl>
    <w:p w14:paraId="3AB216C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031FE9"/>
    <w:rsid w:val="567A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EastAsia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2026-06-03T01:16:21Z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