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山东第一医科大学（山东省医学科学院）审计业务管理信息系统购置项目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SDGP370000000202602004197</w:t>
      </w:r>
    </w:p>
    <w:p>
      <w:pPr>
        <w:pStyle w:val="null5"/>
        <w:jc w:val="left"/>
        <w:outlineLvl w:val="2"/>
      </w:pP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山东华仁永旺招标有限公司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2026年06月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山东华仁永旺招标有限公司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山东第一医科大学</w:t>
      </w:r>
      <w:r>
        <w:rPr>
          <w:rFonts w:ascii="仿宋_GB2312" w:hAnsi="仿宋_GB2312" w:cs="仿宋_GB2312" w:eastAsia="仿宋_GB2312"/>
        </w:rPr>
        <w:t xml:space="preserve"> （以下简称“采购人”）委托，拟对</w:t>
      </w:r>
      <w:r>
        <w:rPr>
          <w:rFonts w:ascii="仿宋_GB2312" w:hAnsi="仿宋_GB2312" w:cs="仿宋_GB2312" w:eastAsia="仿宋_GB2312"/>
        </w:rPr>
        <w:t>山东第一医科大学（山东省医学科学院）审计业务管理信息系统购置项目</w:t>
      </w:r>
      <w:r>
        <w:rPr>
          <w:rFonts w:ascii="仿宋_GB2312" w:hAnsi="仿宋_GB2312" w:cs="仿宋_GB2312" w:eastAsia="仿宋_GB2312"/>
        </w:rPr>
        <w:t>采用竞争性磋商方式进行采购，兹邀请符合资格条件的供应商参加磋商。本项目为山东省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SDGP370000000202602004197</w:t>
      </w:r>
    </w:p>
    <w:p>
      <w:pPr>
        <w:pStyle w:val="null5"/>
        <w:jc w:val="left"/>
        <w:outlineLvl w:val="2"/>
      </w:pPr>
      <w:r>
        <w:rPr>
          <w:rFonts w:ascii="仿宋_GB2312" w:hAnsi="仿宋_GB2312" w:cs="仿宋_GB2312" w:eastAsia="仿宋_GB2312"/>
          <w:sz w:val="28"/>
          <w:b/>
        </w:rPr>
        <w:t xml:space="preserve">1.2.采购项目名称： </w:t>
      </w:r>
      <w:r>
        <w:rPr>
          <w:rFonts w:ascii="仿宋_GB2312" w:hAnsi="仿宋_GB2312" w:cs="仿宋_GB2312" w:eastAsia="仿宋_GB2312"/>
          <w:sz w:val="28"/>
          <w:b/>
        </w:rPr>
        <w:t>山东第一医科大学（山东省医学科学院）审计业务管理信息系统购置项目</w:t>
      </w:r>
    </w:p>
    <w:p>
      <w:pPr>
        <w:pStyle w:val="null5"/>
        <w:jc w:val="left"/>
        <w:outlineLvl w:val="2"/>
      </w:pPr>
      <w:r>
        <w:rPr>
          <w:rFonts w:ascii="仿宋_GB2312" w:hAnsi="仿宋_GB2312" w:cs="仿宋_GB2312" w:eastAsia="仿宋_GB2312"/>
          <w:sz w:val="28"/>
          <w:b/>
        </w:rPr>
        <w:t>1.3.磋商项目简介</w:t>
      </w:r>
    </w:p>
    <w:p>
      <w:pPr>
        <w:pStyle w:val="null5"/>
        <w:ind w:firstLine="480"/>
        <w:jc w:val="left"/>
      </w:pPr>
      <w:r>
        <w:rPr>
          <w:rFonts w:ascii="仿宋_GB2312" w:hAnsi="仿宋_GB2312" w:cs="仿宋_GB2312" w:eastAsia="仿宋_GB2312"/>
        </w:rPr>
        <w:t>山东第一医科大学（山东省医学科学院）审计业务管理信息系统购置项目</w:t>
      </w:r>
    </w:p>
    <w:p>
      <w:pPr>
        <w:pStyle w:val="null5"/>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4、参加政府采购活动前三年内，在经营活动中没有重大违法记录。：提供无重大违法记录声明函，加盖公章。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5、具有履行合同所必需的设备和专业技术能力：具有履行政府采购合同所必需的设备和专业技术能力声明函。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6、符合法律、行政法规规定的其他条件：符合法律、行政法规规定的其他条件。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1.7.磋商文件获取时间、方式及地址</w:t>
      </w:r>
    </w:p>
    <w:p>
      <w:pPr>
        <w:pStyle w:val="null5"/>
        <w:ind w:firstLine="480"/>
        <w:jc w:val="both"/>
      </w:pPr>
      <w:r>
        <w:rPr>
          <w:rFonts w:ascii="仿宋_GB2312" w:hAnsi="仿宋_GB2312" w:cs="仿宋_GB2312" w:eastAsia="仿宋_GB2312"/>
        </w:rPr>
        <w:t>一、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一、提交响应文件截止时间及开启时间：详见采购公告。</w:t>
      </w:r>
    </w:p>
    <w:p>
      <w:pPr>
        <w:pStyle w:val="null5"/>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济南市槐荫区青岛路6699号山东第一医科大学</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山东华仁永旺招标有限公司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济南市历下区经十路13777号中润世纪广场18号楼603</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葛东银于美玲</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0531-88589237</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采购包1：250,000.00元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说明：自中标公告发布之日起3个工作日内成交供应商向采购人指定账户缴纳合同金额5%的履约保证金（若成交供应商提供了符合要求的《中小企业声明函》，履约保证金为合同金额的2%）。</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代理服务费收费标准：差额累进法下浮30%。成交供应商按中标金额1‰向公证机关/见证律师交纳公证费/见证律师费，(不足400元，按400元收取,上限1000元/每包）。</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山东第一医科大学</w:t>
      </w:r>
      <w:r>
        <w:rPr>
          <w:rFonts w:ascii="仿宋_GB2312" w:hAnsi="仿宋_GB2312" w:cs="仿宋_GB2312" w:eastAsia="仿宋_GB2312"/>
        </w:rPr>
        <w:t xml:space="preserve"> 和 </w:t>
      </w:r>
      <w:r>
        <w:rPr>
          <w:rFonts w:ascii="仿宋_GB2312" w:hAnsi="仿宋_GB2312" w:cs="仿宋_GB2312" w:eastAsia="仿宋_GB2312"/>
        </w:rPr>
        <w:t>山东华仁永旺招标有限公司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山东华仁永旺招标有限公司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项目实施完成达到验收条件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执行磋商文件要求</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按照招标文件规定的技术要求、商务标准、质量标准等进行逐条验收。</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按照招标文件规定的技术要求、商务标准、质量标准等进行逐条验收。</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依据招标文件上的技术规格要求和国家有关质量标准进行现场验收。</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山东第一医科大学</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山东华仁永旺招标有限公司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山东华仁永旺招标有限公司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联系人：于美玲</w:t>
      </w:r>
    </w:p>
    <w:p>
      <w:pPr>
        <w:pStyle w:val="null5"/>
        <w:jc w:val="left"/>
      </w:pPr>
      <w:r>
        <w:rPr>
          <w:rFonts w:ascii="仿宋_GB2312" w:hAnsi="仿宋_GB2312" w:cs="仿宋_GB2312" w:eastAsia="仿宋_GB2312"/>
        </w:rPr>
        <w:t>联系电话：0531-88589237</w:t>
      </w:r>
    </w:p>
    <w:p>
      <w:pPr>
        <w:pStyle w:val="null5"/>
        <w:jc w:val="left"/>
      </w:pPr>
      <w:r>
        <w:rPr>
          <w:rFonts w:ascii="仿宋_GB2312" w:hAnsi="仿宋_GB2312" w:cs="仿宋_GB2312" w:eastAsia="仿宋_GB2312"/>
        </w:rPr>
        <w:t>地址：济南市历下区经十路13777号中润世纪广场18号楼603</w:t>
      </w:r>
    </w:p>
    <w:p>
      <w:pPr>
        <w:pStyle w:val="null5"/>
        <w:jc w:val="left"/>
      </w:pPr>
      <w:r>
        <w:rPr>
          <w:rFonts w:ascii="仿宋_GB2312" w:hAnsi="仿宋_GB2312" w:cs="仿宋_GB2312" w:eastAsia="仿宋_GB2312"/>
        </w:rPr>
        <w:t>邮编：250000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250,000.00</w:t>
      </w:r>
    </w:p>
    <w:p>
      <w:pPr>
        <w:pStyle w:val="null5"/>
        <w:jc w:val="left"/>
      </w:pPr>
      <w:r>
        <w:rPr>
          <w:rFonts w:ascii="仿宋_GB2312" w:hAnsi="仿宋_GB2312" w:cs="仿宋_GB2312" w:eastAsia="仿宋_GB2312"/>
        </w:rPr>
        <w:t>采购包最高限价（元）: 250,000.00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审计业务管理信息系统</w:t>
            </w:r>
          </w:p>
        </w:tc>
        <w:tc>
          <w:tcPr>
            <w:tcW w:type="dxa" w:w="923"/>
          </w:tcPr>
          <w:p>
            <w:pPr>
              <w:pStyle w:val="null5"/>
              <w:jc w:val="right"/>
            </w:pPr>
            <w:r>
              <w:rPr>
                <w:rFonts w:ascii="仿宋_GB2312" w:hAnsi="仿宋_GB2312" w:cs="仿宋_GB2312" w:eastAsia="仿宋_GB2312"/>
              </w:rPr>
              <w:t>1.00（总）</w:t>
            </w:r>
          </w:p>
        </w:tc>
        <w:tc>
          <w:tcPr>
            <w:tcW w:type="dxa" w:w="923"/>
          </w:tcPr>
          <w:p>
            <w:pPr>
              <w:pStyle w:val="null5"/>
              <w:jc w:val="right"/>
            </w:pPr>
            <w:r>
              <w:rPr>
                <w:rFonts w:ascii="仿宋_GB2312" w:hAnsi="仿宋_GB2312" w:cs="仿宋_GB2312" w:eastAsia="仿宋_GB2312"/>
              </w:rPr>
              <w:t>250,000.00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审计业务管理信息系统</w:t>
            </w:r>
          </w:p>
        </w:tc>
        <w:tc>
          <w:tcPr>
            <w:tcW w:type="dxa" w:w="554"/>
          </w:tcPr>
          <w:p>
            <w:pPr>
              <w:pStyle w:val="null5"/>
              <w:jc w:val="left"/>
            </w:pPr>
            <w:r>
              <w:rPr>
                <w:rFonts w:ascii="仿宋_GB2312" w:hAnsi="仿宋_GB2312" w:cs="仿宋_GB2312" w:eastAsia="仿宋_GB2312"/>
              </w:rPr>
              <w:t>总</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250,000.00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审计业务管理信息系统</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审计业务管理信息系统</w:t>
            </w:r>
          </w:p>
        </w:tc>
        <w:tc>
          <w:tcPr>
            <w:tcW w:type="dxa" w:w="2076"/>
          </w:tcPr>
          <w:p>
            <w:pPr>
              <w:pStyle w:val="null5"/>
              <w:jc w:val="left"/>
            </w:pPr>
            <w:r>
              <w:rPr>
                <w:rFonts w:ascii="仿宋_GB2312" w:hAnsi="仿宋_GB2312" w:cs="仿宋_GB2312" w:eastAsia="仿宋_GB2312"/>
              </w:rPr>
              <w:t>审计业务管理信息系统</w:t>
            </w:r>
          </w:p>
        </w:tc>
        <w:tc>
          <w:tcPr>
            <w:tcW w:type="dxa" w:w="415"/>
          </w:tcPr>
          <w:p>
            <w:pPr>
              <w:pStyle w:val="null5"/>
              <w:jc w:val="left"/>
            </w:pPr>
            <w:r>
              <w:rPr>
                <w:rFonts w:ascii="仿宋_GB2312" w:hAnsi="仿宋_GB2312" w:cs="仿宋_GB2312" w:eastAsia="仿宋_GB2312"/>
              </w:rPr>
              <w:t>总</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标的名称：审计业务管理信息系统</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审计业务管理信息系统</w:t>
            </w:r>
          </w:p>
        </w:tc>
        <w:tc>
          <w:tcPr>
            <w:tcW w:type="dxa" w:w="2076"/>
          </w:tcPr>
          <w:p>
            <w:pPr>
              <w:pStyle w:val="null5"/>
              <w:ind w:firstLine="565"/>
              <w:jc w:val="both"/>
            </w:pPr>
            <w:r>
              <w:rPr>
                <w:rFonts w:ascii="仿宋_GB2312" w:hAnsi="仿宋_GB2312" w:cs="仿宋_GB2312" w:eastAsia="仿宋_GB2312"/>
                <w:sz w:val="28"/>
              </w:rPr>
              <w:t>系统建设应遵循行业的相关技术标准</w:t>
            </w:r>
            <w:r>
              <w:rPr>
                <w:rFonts w:ascii="仿宋_GB2312" w:hAnsi="仿宋_GB2312" w:cs="仿宋_GB2312" w:eastAsia="仿宋_GB2312"/>
                <w:sz w:val="28"/>
              </w:rPr>
              <w:t>，</w:t>
            </w:r>
            <w:r>
              <w:rPr>
                <w:rFonts w:ascii="仿宋_GB2312" w:hAnsi="仿宋_GB2312" w:cs="仿宋_GB2312" w:eastAsia="仿宋_GB2312"/>
                <w:sz w:val="28"/>
              </w:rPr>
              <w:t>采用先进的设计思想和主流技术路线，符合业界当前的发展趋势</w:t>
            </w:r>
            <w:r>
              <w:rPr>
                <w:rFonts w:ascii="仿宋_GB2312" w:hAnsi="仿宋_GB2312" w:cs="仿宋_GB2312" w:eastAsia="仿宋_GB2312"/>
                <w:sz w:val="28"/>
              </w:rPr>
              <w:t>，</w:t>
            </w:r>
            <w:r>
              <w:rPr>
                <w:rFonts w:ascii="仿宋_GB2312" w:hAnsi="仿宋_GB2312" w:cs="仿宋_GB2312" w:eastAsia="仿宋_GB2312"/>
                <w:sz w:val="28"/>
              </w:rPr>
              <w:t>系统的开发必须严格遵循教育部的教育信息化行业标准，并符合学校要求的相关信息标准。系统技术架构需要达到以下要求</w:t>
            </w:r>
            <w:r>
              <w:rPr>
                <w:rFonts w:ascii="仿宋_GB2312" w:hAnsi="仿宋_GB2312" w:cs="仿宋_GB2312" w:eastAsia="仿宋_GB2312"/>
                <w:sz w:val="28"/>
              </w:rPr>
              <w:t>:</w:t>
            </w:r>
          </w:p>
          <w:p>
            <w:pPr>
              <w:pStyle w:val="null5"/>
              <w:ind w:firstLine="565"/>
              <w:jc w:val="both"/>
            </w:pPr>
            <w:r>
              <w:rPr>
                <w:rFonts w:ascii="仿宋_GB2312" w:hAnsi="仿宋_GB2312" w:cs="仿宋_GB2312" w:eastAsia="仿宋_GB2312"/>
                <w:sz w:val="28"/>
              </w:rPr>
              <w:t>采用</w:t>
            </w:r>
            <w:r>
              <w:rPr>
                <w:rFonts w:ascii="仿宋_GB2312" w:hAnsi="仿宋_GB2312" w:cs="仿宋_GB2312" w:eastAsia="仿宋_GB2312"/>
                <w:sz w:val="28"/>
              </w:rPr>
              <w:t>Java编程语言开发，基于B/S结构。</w:t>
            </w:r>
          </w:p>
          <w:p>
            <w:pPr>
              <w:pStyle w:val="null5"/>
              <w:ind w:firstLine="565"/>
              <w:jc w:val="both"/>
            </w:pPr>
            <w:r>
              <w:rPr>
                <w:rFonts w:ascii="仿宋_GB2312" w:hAnsi="仿宋_GB2312" w:cs="仿宋_GB2312" w:eastAsia="仿宋_GB2312"/>
                <w:sz w:val="28"/>
              </w:rPr>
              <w:t>支持横向扩展和负载均衡，满足高并发场景下的可用性需求。</w:t>
            </w:r>
          </w:p>
          <w:p>
            <w:pPr>
              <w:pStyle w:val="null5"/>
              <w:ind w:firstLine="565"/>
              <w:jc w:val="both"/>
            </w:pPr>
            <w:r>
              <w:rPr>
                <w:rFonts w:ascii="仿宋_GB2312" w:hAnsi="仿宋_GB2312" w:cs="仿宋_GB2312" w:eastAsia="仿宋_GB2312"/>
                <w:sz w:val="28"/>
              </w:rPr>
              <w:t>具备</w:t>
            </w:r>
            <w:r>
              <w:rPr>
                <w:rFonts w:ascii="仿宋_GB2312" w:hAnsi="仿宋_GB2312" w:cs="仿宋_GB2312" w:eastAsia="仿宋_GB2312"/>
                <w:sz w:val="28"/>
              </w:rPr>
              <w:t>数据权限范围设置</w:t>
            </w:r>
            <w:r>
              <w:rPr>
                <w:rFonts w:ascii="仿宋_GB2312" w:hAnsi="仿宋_GB2312" w:cs="仿宋_GB2312" w:eastAsia="仿宋_GB2312"/>
                <w:sz w:val="28"/>
              </w:rPr>
              <w:t>功能</w:t>
            </w:r>
            <w:r>
              <w:rPr>
                <w:rFonts w:ascii="仿宋_GB2312" w:hAnsi="仿宋_GB2312" w:cs="仿宋_GB2312" w:eastAsia="仿宋_GB2312"/>
                <w:sz w:val="28"/>
              </w:rPr>
              <w:t>。</w:t>
            </w:r>
          </w:p>
          <w:p>
            <w:pPr>
              <w:pStyle w:val="null5"/>
              <w:ind w:firstLine="565"/>
              <w:jc w:val="both"/>
            </w:pPr>
            <w:r>
              <w:rPr>
                <w:rFonts w:ascii="仿宋_GB2312" w:hAnsi="仿宋_GB2312" w:cs="仿宋_GB2312" w:eastAsia="仿宋_GB2312"/>
                <w:sz w:val="28"/>
              </w:rPr>
              <w:t>具备</w:t>
            </w:r>
            <w:r>
              <w:rPr>
                <w:rFonts w:ascii="仿宋_GB2312" w:hAnsi="仿宋_GB2312" w:cs="仿宋_GB2312" w:eastAsia="仿宋_GB2312"/>
                <w:sz w:val="28"/>
              </w:rPr>
              <w:t>物理机、虚拟机、私有云、公有云</w:t>
            </w:r>
            <w:r>
              <w:rPr>
                <w:rFonts w:ascii="仿宋_GB2312" w:hAnsi="仿宋_GB2312" w:cs="仿宋_GB2312" w:eastAsia="仿宋_GB2312"/>
                <w:sz w:val="28"/>
              </w:rPr>
              <w:t>等多种</w:t>
            </w:r>
            <w:r>
              <w:rPr>
                <w:rFonts w:ascii="仿宋_GB2312" w:hAnsi="仿宋_GB2312" w:cs="仿宋_GB2312" w:eastAsia="仿宋_GB2312"/>
                <w:sz w:val="28"/>
              </w:rPr>
              <w:t>部署模式。具备</w:t>
            </w:r>
            <w:r>
              <w:rPr>
                <w:rFonts w:ascii="仿宋_GB2312" w:hAnsi="仿宋_GB2312" w:cs="仿宋_GB2312" w:eastAsia="仿宋_GB2312"/>
                <w:sz w:val="28"/>
              </w:rPr>
              <w:t>主流</w:t>
            </w:r>
            <w:r>
              <w:rPr>
                <w:rFonts w:ascii="仿宋_GB2312" w:hAnsi="仿宋_GB2312" w:cs="仿宋_GB2312" w:eastAsia="仿宋_GB2312"/>
                <w:sz w:val="28"/>
              </w:rPr>
              <w:t>浏览器</w:t>
            </w:r>
            <w:r>
              <w:rPr>
                <w:rFonts w:ascii="仿宋_GB2312" w:hAnsi="仿宋_GB2312" w:cs="仿宋_GB2312" w:eastAsia="仿宋_GB2312"/>
                <w:sz w:val="28"/>
              </w:rPr>
              <w:t>全</w:t>
            </w:r>
            <w:r>
              <w:rPr>
                <w:rFonts w:ascii="仿宋_GB2312" w:hAnsi="仿宋_GB2312" w:cs="仿宋_GB2312" w:eastAsia="仿宋_GB2312"/>
                <w:sz w:val="28"/>
              </w:rPr>
              <w:t>兼容</w:t>
            </w:r>
            <w:r>
              <w:rPr>
                <w:rFonts w:ascii="仿宋_GB2312" w:hAnsi="仿宋_GB2312" w:cs="仿宋_GB2312" w:eastAsia="仿宋_GB2312"/>
                <w:sz w:val="28"/>
              </w:rPr>
              <w:t>功能</w:t>
            </w:r>
            <w:r>
              <w:rPr>
                <w:rFonts w:ascii="仿宋_GB2312" w:hAnsi="仿宋_GB2312" w:cs="仿宋_GB2312" w:eastAsia="仿宋_GB2312"/>
                <w:sz w:val="28"/>
              </w:rPr>
              <w:t>。</w:t>
            </w:r>
          </w:p>
          <w:p>
            <w:pPr>
              <w:pStyle w:val="null5"/>
              <w:ind w:firstLine="565"/>
              <w:jc w:val="both"/>
            </w:pPr>
            <w:r>
              <w:rPr>
                <w:rFonts w:ascii="仿宋_GB2312" w:hAnsi="仿宋_GB2312" w:cs="仿宋_GB2312" w:eastAsia="仿宋_GB2312"/>
                <w:sz w:val="28"/>
              </w:rPr>
              <w:t>系统集成要求</w:t>
            </w:r>
            <w:r>
              <w:rPr>
                <w:rFonts w:ascii="仿宋_GB2312" w:hAnsi="仿宋_GB2312" w:cs="仿宋_GB2312" w:eastAsia="仿宋_GB2312"/>
                <w:sz w:val="28"/>
              </w:rPr>
              <w:t>:按照学校要求开放接口，支持与智慧校园基础平台及各应用系统集成。完成与财务系统，资产系统的对接，满足审计抽取数据的要求。</w:t>
            </w:r>
          </w:p>
          <w:p>
            <w:pPr>
              <w:pStyle w:val="null5"/>
              <w:ind w:firstLine="565"/>
              <w:jc w:val="both"/>
            </w:pPr>
            <w:r>
              <w:rPr>
                <w:rFonts w:ascii="仿宋_GB2312" w:hAnsi="仿宋_GB2312" w:cs="仿宋_GB2312" w:eastAsia="仿宋_GB2312"/>
                <w:sz w:val="28"/>
              </w:rPr>
              <w:t>1.数据衔接</w:t>
            </w:r>
          </w:p>
          <w:p>
            <w:pPr>
              <w:pStyle w:val="null5"/>
              <w:ind w:firstLine="565"/>
              <w:jc w:val="both"/>
            </w:pPr>
            <w:r>
              <w:rPr>
                <w:rFonts w:ascii="仿宋_GB2312" w:hAnsi="仿宋_GB2312" w:cs="仿宋_GB2312" w:eastAsia="仿宋_GB2312"/>
                <w:sz w:val="28"/>
              </w:rPr>
              <w:t>实现与学校信息门户</w:t>
            </w:r>
            <w:r>
              <w:rPr>
                <w:rFonts w:ascii="仿宋_GB2312" w:hAnsi="仿宋_GB2312" w:cs="仿宋_GB2312" w:eastAsia="仿宋_GB2312"/>
                <w:sz w:val="28"/>
              </w:rPr>
              <w:t>-统一身份认证对接，实现与学校财务、资产核心系统对接，打破数据孤岛，保障审计数据的真实性、完整性，为审计工作提供坚实数据支撑</w:t>
            </w:r>
            <w:r>
              <w:rPr>
                <w:rFonts w:ascii="仿宋_GB2312" w:hAnsi="仿宋_GB2312" w:cs="仿宋_GB2312" w:eastAsia="仿宋_GB2312"/>
                <w:sz w:val="28"/>
              </w:rPr>
              <w:t>，非全量数据读取的情况下，</w:t>
            </w:r>
            <w:r>
              <w:rPr>
                <w:rFonts w:ascii="仿宋_GB2312" w:hAnsi="仿宋_GB2312" w:cs="仿宋_GB2312" w:eastAsia="仿宋_GB2312"/>
                <w:sz w:val="28"/>
              </w:rPr>
              <w:t>对接数据同步时间</w:t>
            </w:r>
            <w:r>
              <w:rPr>
                <w:rFonts w:ascii="仿宋_GB2312" w:hAnsi="仿宋_GB2312" w:cs="仿宋_GB2312" w:eastAsia="仿宋_GB2312"/>
                <w:sz w:val="28"/>
              </w:rPr>
              <w:t>≤5min</w:t>
            </w:r>
            <w:r>
              <w:rPr>
                <w:rFonts w:ascii="仿宋_GB2312" w:hAnsi="仿宋_GB2312" w:cs="仿宋_GB2312" w:eastAsia="仿宋_GB2312"/>
                <w:sz w:val="28"/>
              </w:rPr>
              <w:t>。校（院）使用的</w:t>
            </w:r>
            <w:r>
              <w:rPr>
                <w:rFonts w:ascii="仿宋_GB2312" w:hAnsi="仿宋_GB2312" w:cs="仿宋_GB2312" w:eastAsia="仿宋_GB2312"/>
                <w:sz w:val="28"/>
              </w:rPr>
              <w:t>门户系统、</w:t>
            </w:r>
            <w:r>
              <w:rPr>
                <w:rFonts w:ascii="仿宋_GB2312" w:hAnsi="仿宋_GB2312" w:cs="仿宋_GB2312" w:eastAsia="仿宋_GB2312"/>
                <w:sz w:val="28"/>
              </w:rPr>
              <w:t>资产系统与财务系统的接口对接</w:t>
            </w:r>
            <w:r>
              <w:rPr>
                <w:rFonts w:ascii="仿宋_GB2312" w:hAnsi="仿宋_GB2312" w:cs="仿宋_GB2312" w:eastAsia="仿宋_GB2312"/>
                <w:sz w:val="28"/>
              </w:rPr>
              <w:t>，</w:t>
            </w:r>
            <w:r>
              <w:rPr>
                <w:rFonts w:ascii="仿宋_GB2312" w:hAnsi="仿宋_GB2312" w:cs="仿宋_GB2312" w:eastAsia="仿宋_GB2312"/>
                <w:sz w:val="28"/>
              </w:rPr>
              <w:t>费用包含在</w:t>
            </w:r>
            <w:r>
              <w:rPr>
                <w:rFonts w:ascii="仿宋_GB2312" w:hAnsi="仿宋_GB2312" w:cs="仿宋_GB2312" w:eastAsia="仿宋_GB2312"/>
                <w:sz w:val="28"/>
              </w:rPr>
              <w:t>报价</w:t>
            </w:r>
            <w:r>
              <w:rPr>
                <w:rFonts w:ascii="仿宋_GB2312" w:hAnsi="仿宋_GB2312" w:cs="仿宋_GB2312" w:eastAsia="仿宋_GB2312"/>
                <w:sz w:val="28"/>
              </w:rPr>
              <w:t>中。</w:t>
            </w:r>
          </w:p>
          <w:p>
            <w:pPr>
              <w:pStyle w:val="null5"/>
              <w:ind w:firstLine="565"/>
              <w:jc w:val="both"/>
            </w:pPr>
            <w:r>
              <w:rPr>
                <w:rFonts w:ascii="仿宋_GB2312" w:hAnsi="仿宋_GB2312" w:cs="仿宋_GB2312" w:eastAsia="仿宋_GB2312"/>
                <w:sz w:val="28"/>
              </w:rPr>
              <w:t>1）财务系统对接与查询账表、凭证和影像化资料</w:t>
            </w:r>
          </w:p>
          <w:p>
            <w:pPr>
              <w:pStyle w:val="null5"/>
              <w:ind w:firstLine="565"/>
              <w:jc w:val="both"/>
            </w:pPr>
            <w:r>
              <w:rPr>
                <w:rFonts w:ascii="仿宋_GB2312" w:hAnsi="仿宋_GB2312" w:cs="仿宋_GB2312" w:eastAsia="仿宋_GB2312"/>
                <w:sz w:val="28"/>
              </w:rPr>
              <w:t>财务系统数据通过中间库或与计划财务部协商后确定的其他方式实现数据对接，支持按年度、部门、科目等多维度筛选导出，支持调阅、查看、下载财务系统凭证影像化资料，确保财务系统能根据审计工作需要推送数据。支持财务凭证抽取查看审计业务。</w:t>
            </w:r>
          </w:p>
          <w:p>
            <w:pPr>
              <w:pStyle w:val="null5"/>
              <w:ind w:firstLine="565"/>
              <w:jc w:val="both"/>
            </w:pPr>
            <w:r>
              <w:rPr>
                <w:rFonts w:ascii="仿宋_GB2312" w:hAnsi="仿宋_GB2312" w:cs="仿宋_GB2312" w:eastAsia="仿宋_GB2312"/>
                <w:sz w:val="28"/>
              </w:rPr>
              <w:t>2）资产系统对接与查询</w:t>
            </w:r>
          </w:p>
          <w:p>
            <w:pPr>
              <w:pStyle w:val="null5"/>
              <w:ind w:firstLine="565"/>
              <w:jc w:val="both"/>
            </w:pPr>
            <w:r>
              <w:rPr>
                <w:rFonts w:ascii="仿宋_GB2312" w:hAnsi="仿宋_GB2312" w:cs="仿宋_GB2312" w:eastAsia="仿宋_GB2312"/>
                <w:sz w:val="28"/>
              </w:rPr>
              <w:t>资产系统数据对接采用</w:t>
            </w:r>
            <w:r>
              <w:rPr>
                <w:rFonts w:ascii="仿宋_GB2312" w:hAnsi="仿宋_GB2312" w:cs="仿宋_GB2312" w:eastAsia="仿宋_GB2312"/>
                <w:sz w:val="28"/>
              </w:rPr>
              <w:t>API方式或与国有资产与实验室管理部协商后确定的其他方式实现数据对接，支持采集资产入库、处置资产数据，建立资产审计台账，实现资产全生命周期审计监控，防范资产流失风险。取数过程中采用加密传输技术，保障数据安全，同时建立数据校验机制，自动识别异常数据并提醒，确保取数精准可靠。支持资产盘点抽取查看审计业务。</w:t>
            </w:r>
          </w:p>
          <w:p>
            <w:pPr>
              <w:pStyle w:val="null5"/>
              <w:ind w:firstLine="565"/>
              <w:jc w:val="both"/>
            </w:pPr>
            <w:r>
              <w:rPr>
                <w:rFonts w:ascii="仿宋_GB2312" w:hAnsi="仿宋_GB2312" w:cs="仿宋_GB2312" w:eastAsia="仿宋_GB2312"/>
                <w:sz w:val="28"/>
              </w:rPr>
              <w:t>3）数据清洗</w:t>
            </w:r>
          </w:p>
          <w:p>
            <w:pPr>
              <w:pStyle w:val="null5"/>
              <w:ind w:firstLine="565"/>
              <w:jc w:val="both"/>
            </w:pPr>
            <w:r>
              <w:rPr>
                <w:rFonts w:ascii="仿宋_GB2312" w:hAnsi="仿宋_GB2312" w:cs="仿宋_GB2312" w:eastAsia="仿宋_GB2312"/>
                <w:sz w:val="28"/>
              </w:rPr>
              <w:t>针对历史数据，完成一次性初始化采集后，后续仅对增量数据进行更新，降低数据采集压力。同时，通过数据清洗、转换、标准化处理，剔除无效数据、纠正异常数据、统一数据格式，形成标准化审计数据集市，为后续模型分析提供高质量数据支撑，确保数据可用、准确、规范。</w:t>
            </w:r>
          </w:p>
          <w:p>
            <w:pPr>
              <w:pStyle w:val="null5"/>
              <w:ind w:firstLine="565"/>
              <w:jc w:val="both"/>
            </w:pPr>
            <w:r>
              <w:rPr>
                <w:rFonts w:ascii="仿宋_GB2312" w:hAnsi="仿宋_GB2312" w:cs="仿宋_GB2312" w:eastAsia="仿宋_GB2312"/>
                <w:sz w:val="28"/>
              </w:rPr>
              <w:t>2.审计资料报送</w:t>
            </w:r>
          </w:p>
          <w:p>
            <w:pPr>
              <w:pStyle w:val="null5"/>
              <w:ind w:firstLine="565"/>
              <w:jc w:val="both"/>
            </w:pPr>
            <w:r>
              <w:rPr>
                <w:rFonts w:ascii="仿宋_GB2312" w:hAnsi="仿宋_GB2312" w:cs="仿宋_GB2312" w:eastAsia="仿宋_GB2312"/>
                <w:sz w:val="28"/>
              </w:rPr>
              <w:t>1）审计资料上报管理</w:t>
            </w:r>
          </w:p>
          <w:p>
            <w:pPr>
              <w:pStyle w:val="null5"/>
              <w:ind w:firstLine="565"/>
              <w:jc w:val="both"/>
            </w:pPr>
            <w:r>
              <w:rPr>
                <w:rFonts w:ascii="仿宋_GB2312" w:hAnsi="仿宋_GB2312" w:cs="仿宋_GB2312" w:eastAsia="仿宋_GB2312"/>
                <w:sz w:val="28"/>
              </w:rPr>
              <w:t>系统支持线上上传送审材料，被审计单位对审计通知中所需要的审计资料进行提交和审核操作，规范上报流程和资料标准。</w:t>
            </w:r>
          </w:p>
          <w:p>
            <w:pPr>
              <w:pStyle w:val="null5"/>
              <w:ind w:firstLine="565"/>
              <w:jc w:val="both"/>
            </w:pPr>
            <w:r>
              <w:rPr>
                <w:rFonts w:ascii="仿宋_GB2312" w:hAnsi="仿宋_GB2312" w:cs="仿宋_GB2312" w:eastAsia="仿宋_GB2312"/>
                <w:sz w:val="28"/>
              </w:rPr>
              <w:t>2）审计资料接收管理</w:t>
            </w:r>
          </w:p>
          <w:p>
            <w:pPr>
              <w:pStyle w:val="null5"/>
              <w:ind w:firstLine="565"/>
              <w:jc w:val="both"/>
            </w:pPr>
            <w:r>
              <w:rPr>
                <w:rFonts w:ascii="仿宋_GB2312" w:hAnsi="仿宋_GB2312" w:cs="仿宋_GB2312" w:eastAsia="仿宋_GB2312"/>
                <w:sz w:val="28"/>
              </w:rPr>
              <w:t>系统支持审计人员在权限范围内接收被审计部门送审材料，不合适的材料可退回，或资料不全的再补充资料，可以实现线上审核材料的往返交互。</w:t>
            </w:r>
          </w:p>
          <w:p>
            <w:pPr>
              <w:pStyle w:val="null5"/>
              <w:ind w:firstLine="565"/>
              <w:jc w:val="both"/>
            </w:pPr>
            <w:r>
              <w:rPr>
                <w:rFonts w:ascii="仿宋_GB2312" w:hAnsi="仿宋_GB2312" w:cs="仿宋_GB2312" w:eastAsia="仿宋_GB2312"/>
                <w:sz w:val="28"/>
              </w:rPr>
              <w:t>3）审计资料上报提醒及预警</w:t>
            </w:r>
          </w:p>
          <w:p>
            <w:pPr>
              <w:pStyle w:val="null5"/>
              <w:ind w:firstLine="565"/>
              <w:jc w:val="both"/>
            </w:pPr>
            <w:r>
              <w:rPr>
                <w:rFonts w:ascii="仿宋_GB2312" w:hAnsi="仿宋_GB2312" w:cs="仿宋_GB2312" w:eastAsia="仿宋_GB2312"/>
                <w:sz w:val="28"/>
              </w:rPr>
              <w:t>各单位需按要求线上提交财务报表、科研合同、资产台账、会议纪要等审计相关资料，系统支持资料在线上传、批量导入，设置资料上报时限提醒功能，对逾期未上报单位进行预警</w:t>
            </w:r>
            <w:r>
              <w:rPr>
                <w:rFonts w:ascii="仿宋_GB2312" w:hAnsi="仿宋_GB2312" w:cs="仿宋_GB2312" w:eastAsia="仿宋_GB2312"/>
                <w:sz w:val="28"/>
              </w:rPr>
              <w:t>，</w:t>
            </w:r>
            <w:r>
              <w:rPr>
                <w:rFonts w:ascii="仿宋_GB2312" w:hAnsi="仿宋_GB2312" w:cs="仿宋_GB2312" w:eastAsia="仿宋_GB2312"/>
                <w:sz w:val="28"/>
              </w:rPr>
              <w:t>后台可设置预警的方式、权重、时效，可对预警信息进行管理</w:t>
            </w:r>
            <w:r>
              <w:rPr>
                <w:rFonts w:ascii="仿宋_GB2312" w:hAnsi="仿宋_GB2312" w:cs="仿宋_GB2312" w:eastAsia="仿宋_GB2312"/>
                <w:sz w:val="28"/>
              </w:rPr>
              <w:t>。</w:t>
            </w:r>
          </w:p>
          <w:p>
            <w:pPr>
              <w:pStyle w:val="null5"/>
              <w:ind w:firstLine="565"/>
              <w:jc w:val="both"/>
            </w:pPr>
            <w:r>
              <w:rPr>
                <w:rFonts w:ascii="仿宋_GB2312" w:hAnsi="仿宋_GB2312" w:cs="仿宋_GB2312" w:eastAsia="仿宋_GB2312"/>
                <w:sz w:val="28"/>
              </w:rPr>
              <w:t>4）审计资料审核</w:t>
            </w:r>
          </w:p>
          <w:p>
            <w:pPr>
              <w:pStyle w:val="null5"/>
              <w:ind w:firstLine="565"/>
              <w:jc w:val="both"/>
            </w:pPr>
            <w:r>
              <w:rPr>
                <w:rFonts w:ascii="仿宋_GB2312" w:hAnsi="仿宋_GB2312" w:cs="仿宋_GB2312" w:eastAsia="仿宋_GB2312"/>
                <w:sz w:val="28"/>
              </w:rPr>
              <w:t>建立资料审核机制，审计人员可在线审核资料完整性、真实性，对不符合要求的资料退回并注明修改意见，实现资料上报、审核、反馈全程线上化，减少纸质资料传递，提升资料管理效率，保障审计资料的可追溯性。</w:t>
            </w:r>
            <w:r>
              <w:rPr>
                <w:rFonts w:ascii="仿宋_GB2312" w:hAnsi="仿宋_GB2312" w:cs="仿宋_GB2312" w:eastAsia="仿宋_GB2312"/>
                <w:sz w:val="28"/>
              </w:rPr>
              <w:t>注：审核日志储存时间不少于</w:t>
            </w:r>
            <w:r>
              <w:rPr>
                <w:rFonts w:ascii="仿宋_GB2312" w:hAnsi="仿宋_GB2312" w:cs="仿宋_GB2312" w:eastAsia="仿宋_GB2312"/>
                <w:sz w:val="28"/>
              </w:rPr>
              <w:t>180天。</w:t>
            </w:r>
          </w:p>
          <w:p>
            <w:pPr>
              <w:pStyle w:val="null5"/>
              <w:ind w:firstLine="565"/>
              <w:jc w:val="both"/>
            </w:pPr>
            <w:r>
              <w:rPr>
                <w:rFonts w:ascii="仿宋_GB2312" w:hAnsi="仿宋_GB2312" w:cs="仿宋_GB2312" w:eastAsia="仿宋_GB2312"/>
                <w:sz w:val="28"/>
              </w:rPr>
              <w:t>3.审计规则模型</w:t>
            </w:r>
          </w:p>
          <w:p>
            <w:pPr>
              <w:pStyle w:val="null5"/>
              <w:ind w:firstLine="565"/>
              <w:jc w:val="both"/>
            </w:pPr>
            <w:r>
              <w:rPr>
                <w:rFonts w:ascii="仿宋_GB2312" w:hAnsi="仿宋_GB2312" w:cs="仿宋_GB2312" w:eastAsia="仿宋_GB2312"/>
                <w:sz w:val="28"/>
              </w:rPr>
              <w:t>1）模型设置及预警</w:t>
            </w:r>
          </w:p>
          <w:p>
            <w:pPr>
              <w:pStyle w:val="null5"/>
              <w:ind w:firstLine="565"/>
              <w:jc w:val="both"/>
            </w:pPr>
            <w:r>
              <w:rPr>
                <w:rFonts w:ascii="仿宋_GB2312" w:hAnsi="仿宋_GB2312" w:cs="仿宋_GB2312" w:eastAsia="仿宋_GB2312"/>
                <w:sz w:val="28"/>
              </w:rPr>
              <w:t>单位提供业务模型类型条件，系统后台设置生成查询语句，完成数据查询与分析；</w:t>
            </w:r>
          </w:p>
          <w:p>
            <w:pPr>
              <w:pStyle w:val="null5"/>
              <w:ind w:firstLine="565"/>
              <w:jc w:val="both"/>
            </w:pPr>
            <w:r>
              <w:rPr>
                <w:rFonts w:ascii="仿宋_GB2312" w:hAnsi="仿宋_GB2312" w:cs="仿宋_GB2312" w:eastAsia="仿宋_GB2312"/>
                <w:sz w:val="28"/>
              </w:rPr>
              <w:t>支持审计人员对模型进行自定义命名与说明，灵活绑定对应数据源并配置审计规则，根据实际审计场景调整规则条件、预警阈值，提升模型的灵活性和适配性；</w:t>
            </w:r>
          </w:p>
          <w:p>
            <w:pPr>
              <w:pStyle w:val="null5"/>
              <w:ind w:firstLine="565"/>
              <w:jc w:val="both"/>
            </w:pPr>
            <w:r>
              <w:rPr>
                <w:rFonts w:ascii="仿宋_GB2312" w:hAnsi="仿宋_GB2312" w:cs="仿宋_GB2312" w:eastAsia="仿宋_GB2312"/>
                <w:sz w:val="28"/>
              </w:rPr>
              <w:t>建立红、橙、黄、蓝四级预警体系，根据问题严重程度自动标注预警级别，其中红色预警为重大风险，需立即处置，橙色、黄色、蓝色预警按优先级依次推进核查，确保审计人员聚焦重点、高效工作。</w:t>
            </w:r>
          </w:p>
          <w:p>
            <w:pPr>
              <w:pStyle w:val="null5"/>
              <w:ind w:firstLine="565"/>
              <w:jc w:val="both"/>
            </w:pPr>
            <w:r>
              <w:rPr>
                <w:rFonts w:ascii="仿宋_GB2312" w:hAnsi="仿宋_GB2312" w:cs="仿宋_GB2312" w:eastAsia="仿宋_GB2312"/>
                <w:sz w:val="28"/>
              </w:rPr>
              <w:t>2）财务审计模型</w:t>
            </w:r>
          </w:p>
          <w:p>
            <w:pPr>
              <w:pStyle w:val="null5"/>
              <w:ind w:firstLine="565"/>
              <w:jc w:val="both"/>
            </w:pPr>
            <w:r>
              <w:rPr>
                <w:rFonts w:ascii="仿宋_GB2312" w:hAnsi="仿宋_GB2312" w:cs="仿宋_GB2312" w:eastAsia="仿宋_GB2312"/>
                <w:sz w:val="28"/>
              </w:rPr>
              <w:t>重点针对超标准支出、异常报销、大额支付、重复付款、预算执行异常、票据不合规、经费挪用等常见问题，预设明确审计规则。</w:t>
            </w:r>
          </w:p>
          <w:p>
            <w:pPr>
              <w:pStyle w:val="null5"/>
              <w:ind w:firstLine="565"/>
              <w:jc w:val="both"/>
            </w:pPr>
            <w:r>
              <w:rPr>
                <w:rFonts w:ascii="仿宋_GB2312" w:hAnsi="仿宋_GB2312" w:cs="仿宋_GB2312" w:eastAsia="仿宋_GB2312"/>
                <w:sz w:val="28"/>
              </w:rPr>
              <w:t>3）资产审计模型</w:t>
            </w:r>
          </w:p>
          <w:p>
            <w:pPr>
              <w:pStyle w:val="null5"/>
              <w:ind w:firstLine="565"/>
              <w:jc w:val="both"/>
            </w:pPr>
            <w:r>
              <w:rPr>
                <w:rFonts w:ascii="仿宋_GB2312" w:hAnsi="仿宋_GB2312" w:cs="仿宋_GB2312" w:eastAsia="仿宋_GB2312"/>
                <w:sz w:val="28"/>
              </w:rPr>
              <w:t>围绕资产账实不符、闲置浪费、资产流失、处置不合规、新增资产未入账、资产盘点异常等问题，通过比对资产系统入账数据与实际盘点数据、资产处置流程与制度要求，自动识别疑点，比如识别长期闲置未使用的资产、未按规定流程处置的资产、新增资产未及时入账等情况。</w:t>
            </w:r>
          </w:p>
          <w:p>
            <w:pPr>
              <w:pStyle w:val="null5"/>
              <w:ind w:firstLine="565"/>
              <w:jc w:val="both"/>
            </w:pPr>
            <w:r>
              <w:rPr>
                <w:rFonts w:ascii="仿宋_GB2312" w:hAnsi="仿宋_GB2312" w:cs="仿宋_GB2312" w:eastAsia="仿宋_GB2312"/>
                <w:sz w:val="28"/>
              </w:rPr>
              <w:t>4.审计整改</w:t>
            </w:r>
          </w:p>
          <w:p>
            <w:pPr>
              <w:pStyle w:val="null5"/>
              <w:ind w:firstLine="565"/>
              <w:jc w:val="both"/>
            </w:pPr>
            <w:r>
              <w:rPr>
                <w:rFonts w:ascii="仿宋_GB2312" w:hAnsi="仿宋_GB2312" w:cs="仿宋_GB2312" w:eastAsia="仿宋_GB2312"/>
                <w:sz w:val="28"/>
              </w:rPr>
              <w:t>1）整改设置</w:t>
            </w:r>
          </w:p>
          <w:p>
            <w:pPr>
              <w:pStyle w:val="null5"/>
              <w:ind w:firstLine="565"/>
              <w:jc w:val="both"/>
            </w:pPr>
            <w:r>
              <w:rPr>
                <w:rFonts w:ascii="仿宋_GB2312" w:hAnsi="仿宋_GB2312" w:cs="仿宋_GB2312" w:eastAsia="仿宋_GB2312"/>
                <w:sz w:val="28"/>
              </w:rPr>
              <w:t>系统</w:t>
            </w:r>
            <w:r>
              <w:rPr>
                <w:rFonts w:ascii="仿宋_GB2312" w:hAnsi="仿宋_GB2312" w:cs="仿宋_GB2312" w:eastAsia="仿宋_GB2312"/>
                <w:sz w:val="28"/>
              </w:rPr>
              <w:t>可根据用户需要设置审计整改流程，并</w:t>
            </w:r>
            <w:r>
              <w:rPr>
                <w:rFonts w:ascii="仿宋_GB2312" w:hAnsi="仿宋_GB2312" w:cs="仿宋_GB2312" w:eastAsia="仿宋_GB2312"/>
                <w:sz w:val="28"/>
              </w:rPr>
              <w:t>对审计整改问题进行设定、整改结果反馈和整改结果评价等管理。针对整改完成情况，进行流程审批、审计意见反馈、审计意见复核等流程性管理，支持整改问题证明材料以附件形式上传</w:t>
            </w:r>
            <w:r>
              <w:rPr>
                <w:rFonts w:ascii="仿宋_GB2312" w:hAnsi="仿宋_GB2312" w:cs="仿宋_GB2312" w:eastAsia="仿宋_GB2312"/>
                <w:sz w:val="28"/>
              </w:rPr>
              <w:t>，</w:t>
            </w:r>
            <w:r>
              <w:rPr>
                <w:rFonts w:ascii="仿宋_GB2312" w:hAnsi="仿宋_GB2312" w:cs="仿宋_GB2312" w:eastAsia="仿宋_GB2312"/>
                <w:sz w:val="28"/>
              </w:rPr>
              <w:t>并</w:t>
            </w:r>
            <w:r>
              <w:rPr>
                <w:rFonts w:ascii="仿宋_GB2312" w:hAnsi="仿宋_GB2312" w:cs="仿宋_GB2312" w:eastAsia="仿宋_GB2312"/>
                <w:sz w:val="28"/>
              </w:rPr>
              <w:t>对审计整改全流程进行跟踪和查看。</w:t>
            </w:r>
          </w:p>
          <w:p>
            <w:pPr>
              <w:pStyle w:val="null5"/>
              <w:ind w:firstLine="565"/>
              <w:jc w:val="both"/>
            </w:pPr>
            <w:r>
              <w:rPr>
                <w:rFonts w:ascii="仿宋_GB2312" w:hAnsi="仿宋_GB2312" w:cs="仿宋_GB2312" w:eastAsia="仿宋_GB2312"/>
                <w:sz w:val="28"/>
              </w:rPr>
              <w:t>2）整改反馈</w:t>
            </w:r>
          </w:p>
          <w:p>
            <w:pPr>
              <w:pStyle w:val="null5"/>
              <w:ind w:firstLine="565"/>
              <w:jc w:val="both"/>
            </w:pPr>
            <w:r>
              <w:rPr>
                <w:rFonts w:ascii="仿宋_GB2312" w:hAnsi="仿宋_GB2312" w:cs="仿宋_GB2312" w:eastAsia="仿宋_GB2312"/>
                <w:sz w:val="28"/>
              </w:rPr>
              <w:t>通过审计整改反馈，可以对审计组成员发布的审计整改通知书上罗列的审计问题进行相应整改，并在规定时限内提交上传审计整改报告、整改结果清单以及整改相关证明材料，相关归口部门对审计整改内容进行督察督办。</w:t>
            </w:r>
          </w:p>
          <w:p>
            <w:pPr>
              <w:pStyle w:val="null5"/>
              <w:ind w:firstLine="565"/>
              <w:jc w:val="both"/>
            </w:pPr>
            <w:r>
              <w:rPr>
                <w:rFonts w:ascii="仿宋_GB2312" w:hAnsi="仿宋_GB2312" w:cs="仿宋_GB2312" w:eastAsia="仿宋_GB2312"/>
                <w:sz w:val="28"/>
              </w:rPr>
              <w:t>3）后续整改及通知</w:t>
            </w:r>
          </w:p>
          <w:p>
            <w:pPr>
              <w:pStyle w:val="null5"/>
              <w:ind w:firstLine="565"/>
              <w:jc w:val="both"/>
            </w:pPr>
            <w:r>
              <w:rPr>
                <w:rFonts w:ascii="仿宋_GB2312" w:hAnsi="仿宋_GB2312" w:cs="仿宋_GB2312" w:eastAsia="仿宋_GB2312"/>
                <w:sz w:val="28"/>
              </w:rPr>
              <w:t>筛选尚未整改完成的审计问题，通过后续整改模块发起多轮整改及整改调度。对于短期内无法完成整改的问题，被审部门可在后续整改环节多次反馈提交，直至问题彻底整改闭环。下发后续整改通知，通知内容与整改事项相互独立，既充分调动被审部门整改主动性，又确保整改要求清晰、责任落实到人、整改时限明确。</w:t>
            </w:r>
          </w:p>
          <w:p>
            <w:pPr>
              <w:pStyle w:val="null5"/>
              <w:ind w:firstLine="565"/>
              <w:jc w:val="both"/>
            </w:pPr>
            <w:r>
              <w:rPr>
                <w:rFonts w:ascii="仿宋_GB2312" w:hAnsi="仿宋_GB2312" w:cs="仿宋_GB2312" w:eastAsia="仿宋_GB2312"/>
                <w:sz w:val="28"/>
              </w:rPr>
              <w:t>4）整改查询</w:t>
            </w:r>
          </w:p>
          <w:p>
            <w:pPr>
              <w:pStyle w:val="null5"/>
              <w:ind w:firstLine="565"/>
              <w:jc w:val="both"/>
            </w:pPr>
            <w:r>
              <w:rPr>
                <w:rFonts w:ascii="仿宋_GB2312" w:hAnsi="仿宋_GB2312" w:cs="仿宋_GB2312" w:eastAsia="仿宋_GB2312"/>
                <w:sz w:val="28"/>
              </w:rPr>
              <w:t>查询项目问题整改进度，生成整改台账及闭环管理清单；</w:t>
            </w:r>
          </w:p>
          <w:p>
            <w:pPr>
              <w:pStyle w:val="null5"/>
              <w:ind w:firstLine="565"/>
              <w:jc w:val="both"/>
            </w:pPr>
            <w:r>
              <w:rPr>
                <w:rFonts w:ascii="仿宋_GB2312" w:hAnsi="仿宋_GB2312" w:cs="仿宋_GB2312" w:eastAsia="仿宋_GB2312"/>
                <w:sz w:val="28"/>
              </w:rPr>
              <w:t>按多种查询条件，对不同项目、不同类型的审计问题进行精准筛选，对单条问题的整改进展、责任部门、完成时限及佐证材料实行全要素动态跟踪，确保问题整改全程留痕、闭环管理无死角。</w:t>
            </w:r>
          </w:p>
          <w:p>
            <w:pPr>
              <w:pStyle w:val="null5"/>
              <w:ind w:firstLine="565"/>
              <w:jc w:val="both"/>
            </w:pPr>
            <w:r>
              <w:rPr>
                <w:rFonts w:ascii="仿宋_GB2312" w:hAnsi="仿宋_GB2312" w:cs="仿宋_GB2312" w:eastAsia="仿宋_GB2312"/>
                <w:sz w:val="28"/>
              </w:rPr>
              <w:t>5）整改预警</w:t>
            </w:r>
          </w:p>
          <w:p>
            <w:pPr>
              <w:pStyle w:val="null5"/>
              <w:ind w:firstLine="565"/>
              <w:jc w:val="both"/>
            </w:pPr>
            <w:r>
              <w:rPr>
                <w:rFonts w:ascii="仿宋_GB2312" w:hAnsi="仿宋_GB2312" w:cs="仿宋_GB2312" w:eastAsia="仿宋_GB2312"/>
                <w:sz w:val="28"/>
              </w:rPr>
              <w:t>内置智能预警模块，对临近整改期限、超期未整改等问题自动标红预警，并同步推送至责任部门负责人及审计监督员移动端，实现风险早识别、早干预、早处置。</w:t>
            </w:r>
          </w:p>
          <w:p>
            <w:pPr>
              <w:pStyle w:val="null5"/>
              <w:ind w:firstLine="565"/>
              <w:jc w:val="both"/>
            </w:pPr>
            <w:r>
              <w:rPr>
                <w:rFonts w:ascii="仿宋_GB2312" w:hAnsi="仿宋_GB2312" w:cs="仿宋_GB2312" w:eastAsia="仿宋_GB2312"/>
                <w:sz w:val="28"/>
              </w:rPr>
              <w:t>5.审计基础设置</w:t>
            </w:r>
          </w:p>
          <w:p>
            <w:pPr>
              <w:pStyle w:val="null5"/>
              <w:ind w:firstLine="565"/>
              <w:jc w:val="both"/>
            </w:pPr>
            <w:r>
              <w:rPr>
                <w:rFonts w:ascii="仿宋_GB2312" w:hAnsi="仿宋_GB2312" w:cs="仿宋_GB2312" w:eastAsia="仿宋_GB2312"/>
                <w:sz w:val="28"/>
              </w:rPr>
              <w:t>1）</w:t>
            </w:r>
            <w:r>
              <w:rPr>
                <w:rFonts w:ascii="仿宋_GB2312" w:hAnsi="仿宋_GB2312" w:cs="仿宋_GB2312" w:eastAsia="仿宋_GB2312"/>
                <w:sz w:val="28"/>
              </w:rPr>
              <w:t>设置系统管理员及用户管理员，可对用户管理员进行分级设置，赋予不同的用户权限，系统管理员负责基础初始化，用户管理员负责业务的基础设置。</w:t>
            </w:r>
            <w:r>
              <w:rPr>
                <w:rFonts w:ascii="仿宋_GB2312" w:hAnsi="仿宋_GB2312" w:cs="仿宋_GB2312" w:eastAsia="仿宋_GB2312"/>
                <w:sz w:val="28"/>
              </w:rPr>
              <w:t>功能和模板自行设置，实现审计标准定义、模块初始设置、账套参数设置、单位结构设置、部门信息管理、操作人员管理、用户角色定义、被审单位设置等。</w:t>
            </w:r>
          </w:p>
          <w:p>
            <w:pPr>
              <w:pStyle w:val="null5"/>
              <w:ind w:firstLine="565"/>
              <w:jc w:val="both"/>
            </w:pPr>
            <w:r>
              <w:rPr>
                <w:rFonts w:ascii="仿宋_GB2312" w:hAnsi="仿宋_GB2312" w:cs="仿宋_GB2312" w:eastAsia="仿宋_GB2312"/>
                <w:sz w:val="28"/>
              </w:rPr>
              <w:t>2）维护登录用户基础信息、账号、密码；平台各个菜单名称拟定、系统登录首页设置。</w:t>
            </w:r>
          </w:p>
          <w:p>
            <w:pPr>
              <w:pStyle w:val="null5"/>
              <w:ind w:firstLine="565"/>
              <w:jc w:val="both"/>
            </w:pPr>
            <w:r>
              <w:rPr>
                <w:rFonts w:ascii="仿宋_GB2312" w:hAnsi="仿宋_GB2312" w:cs="仿宋_GB2312" w:eastAsia="仿宋_GB2312"/>
                <w:sz w:val="28"/>
              </w:rPr>
              <w:t>3）实现操作权限、人员权限、数据权限、管理权限、项目权限、用户角色定义、业务权限设置。</w:t>
            </w:r>
          </w:p>
          <w:p>
            <w:pPr>
              <w:pStyle w:val="null5"/>
              <w:ind w:firstLine="565"/>
              <w:jc w:val="both"/>
            </w:pPr>
            <w:r>
              <w:rPr>
                <w:rFonts w:ascii="仿宋_GB2312" w:hAnsi="仿宋_GB2312" w:cs="仿宋_GB2312" w:eastAsia="仿宋_GB2312"/>
                <w:sz w:val="28"/>
              </w:rPr>
              <w:t>4）实现自动记录操作记录，进行操作日志管理。</w:t>
            </w:r>
          </w:p>
          <w:p>
            <w:pPr>
              <w:pStyle w:val="null5"/>
              <w:ind w:firstLine="565"/>
              <w:jc w:val="both"/>
            </w:pPr>
            <w:r>
              <w:rPr>
                <w:rFonts w:ascii="仿宋_GB2312" w:hAnsi="仿宋_GB2312" w:cs="仿宋_GB2312" w:eastAsia="仿宋_GB2312"/>
                <w:sz w:val="28"/>
              </w:rPr>
              <w:t>6.其他要求</w:t>
            </w:r>
          </w:p>
          <w:p>
            <w:pPr>
              <w:pStyle w:val="null5"/>
              <w:ind w:firstLine="565"/>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在校园内网和外网都需能登录操作，需按照《信息系统安全等级保护测评要求》，开展相应级别的安全等保工作。</w:t>
            </w:r>
          </w:p>
          <w:p>
            <w:pPr>
              <w:pStyle w:val="null5"/>
              <w:ind w:firstLine="565"/>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对接校（院）数据中心共享数据。系统在建设完成后提供开放接口，并通过数据接口等方式向校（院）大数据中心、及其它已有或新建的系统开放，</w:t>
            </w:r>
            <w:r>
              <w:rPr>
                <w:rFonts w:ascii="仿宋_GB2312" w:hAnsi="仿宋_GB2312" w:cs="仿宋_GB2312" w:eastAsia="仿宋_GB2312"/>
                <w:sz w:val="28"/>
              </w:rPr>
              <w:t>成交供应商需</w:t>
            </w:r>
            <w:r>
              <w:rPr>
                <w:rFonts w:ascii="仿宋_GB2312" w:hAnsi="仿宋_GB2312" w:cs="仿宋_GB2312" w:eastAsia="仿宋_GB2312"/>
                <w:sz w:val="28"/>
              </w:rPr>
              <w:t>配合对接工作。</w:t>
            </w:r>
          </w:p>
          <w:p>
            <w:pPr>
              <w:pStyle w:val="null5"/>
              <w:ind w:firstLine="565"/>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系统在部署和建设期间涉及个人或单位信息等安全数据内容，双方需签订保密协议。</w:t>
            </w:r>
          </w:p>
          <w:p>
            <w:pPr>
              <w:pStyle w:val="null5"/>
              <w:ind w:firstLine="565"/>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系统质保期三年，在质保期内供应商应免费提供软件功能完善等服务。</w:t>
            </w:r>
          </w:p>
          <w:p>
            <w:pPr>
              <w:pStyle w:val="null5"/>
              <w:ind w:firstLine="565"/>
              <w:jc w:val="both"/>
            </w:pPr>
            <w:r>
              <w:rPr>
                <w:rFonts w:ascii="仿宋_GB2312" w:hAnsi="仿宋_GB2312" w:cs="仿宋_GB2312" w:eastAsia="仿宋_GB2312"/>
                <w:sz w:val="27"/>
              </w:rPr>
              <w:t>▲5</w:t>
            </w:r>
            <w:r>
              <w:rPr>
                <w:rFonts w:ascii="仿宋_GB2312" w:hAnsi="仿宋_GB2312" w:cs="仿宋_GB2312" w:eastAsia="仿宋_GB2312"/>
                <w:sz w:val="28"/>
              </w:rPr>
              <w:t>）</w:t>
            </w:r>
            <w:r>
              <w:rPr>
                <w:rFonts w:ascii="仿宋_GB2312" w:hAnsi="仿宋_GB2312" w:cs="仿宋_GB2312" w:eastAsia="仿宋_GB2312"/>
                <w:sz w:val="27"/>
              </w:rPr>
              <w:t>为保障软件审批流程的可配置性，软件整体需系统应采用自定义工作流引擎配置技术，需提供相关证明材料（包括但不限于国家认可的相关证书、技术认定部门官方网站有关截图等），证明其软件确实具备该技术能力，所有证明材料需真实有效、可核查。</w:t>
            </w:r>
          </w:p>
          <w:p>
            <w:pPr>
              <w:pStyle w:val="null5"/>
              <w:ind w:firstLine="565"/>
              <w:jc w:val="both"/>
            </w:pPr>
            <w:r>
              <w:rPr>
                <w:rFonts w:ascii="仿宋_GB2312" w:hAnsi="仿宋_GB2312" w:cs="仿宋_GB2312" w:eastAsia="仿宋_GB2312"/>
                <w:sz w:val="27"/>
              </w:rPr>
              <w:t>▲6</w:t>
            </w:r>
            <w:r>
              <w:rPr>
                <w:rFonts w:ascii="仿宋_GB2312" w:hAnsi="仿宋_GB2312" w:cs="仿宋_GB2312" w:eastAsia="仿宋_GB2312"/>
                <w:sz w:val="28"/>
              </w:rPr>
              <w:t>）</w:t>
            </w:r>
            <w:r>
              <w:rPr>
                <w:rFonts w:ascii="仿宋_GB2312" w:hAnsi="仿宋_GB2312" w:cs="仿宋_GB2312" w:eastAsia="仿宋_GB2312"/>
                <w:sz w:val="27"/>
              </w:rPr>
              <w:t>因软件建设后续需要对接其他软件系统，为保障系统对接的完整性以及可适配程度，软件需要采购HTTP协议的异构数据源分布式协调一致性方法为后续工作做基础，需提供相关证明材料（包括但不限于国家认可的相关证书、技术认定部门官方网站有关截图等），证明其软件确实具备该技术能力，所有证明材料需真实有效、可核查。</w:t>
            </w:r>
          </w:p>
          <w:p>
            <w:pPr>
              <w:pStyle w:val="null5"/>
              <w:ind w:firstLine="565"/>
              <w:jc w:val="both"/>
            </w:pPr>
            <w:r>
              <w:rPr>
                <w:rFonts w:ascii="仿宋_GB2312" w:hAnsi="仿宋_GB2312" w:cs="仿宋_GB2312" w:eastAsia="仿宋_GB2312"/>
                <w:sz w:val="27"/>
              </w:rPr>
              <w:t>▲7</w:t>
            </w:r>
            <w:r>
              <w:rPr>
                <w:rFonts w:ascii="仿宋_GB2312" w:hAnsi="仿宋_GB2312" w:cs="仿宋_GB2312" w:eastAsia="仿宋_GB2312"/>
                <w:sz w:val="28"/>
              </w:rPr>
              <w:t>）</w:t>
            </w:r>
            <w:r>
              <w:rPr>
                <w:rFonts w:ascii="仿宋_GB2312" w:hAnsi="仿宋_GB2312" w:cs="仿宋_GB2312" w:eastAsia="仿宋_GB2312"/>
                <w:sz w:val="27"/>
              </w:rPr>
              <w:t>平台产品需具备加密的数据传输方法（或其他具备同等安全等级的加密传输技术），以保障数据在传输过程中的机密性、完整性，防止数据泄露、篡改，符合政府采购项目数据安全相关要求。投标人需提供相关证明材料（包括但不限于国家认可的相关证书、技术认定部门官方网站有关截图等），所有证明材料需真实有效、可核查，符合招标文件及政府采购相关规定；</w:t>
            </w:r>
          </w:p>
          <w:p>
            <w:pPr>
              <w:pStyle w:val="null5"/>
              <w:ind w:firstLine="565"/>
              <w:jc w:val="both"/>
            </w:pP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系统数据储存地址：山东第一医科大学网络中心。</w:t>
            </w:r>
          </w:p>
          <w:p>
            <w:pPr>
              <w:pStyle w:val="null5"/>
              <w:ind w:firstLine="565"/>
              <w:jc w:val="both"/>
            </w:pPr>
            <w:r>
              <w:rPr>
                <w:rFonts w:ascii="仿宋_GB2312" w:hAnsi="仿宋_GB2312" w:cs="仿宋_GB2312" w:eastAsia="仿宋_GB2312"/>
                <w:sz w:val="28"/>
              </w:rPr>
              <w:t>9</w:t>
            </w:r>
            <w:r>
              <w:rPr>
                <w:rFonts w:ascii="仿宋_GB2312" w:hAnsi="仿宋_GB2312" w:cs="仿宋_GB2312" w:eastAsia="仿宋_GB2312"/>
                <w:sz w:val="28"/>
              </w:rPr>
              <w:t>）</w:t>
            </w:r>
            <w:r>
              <w:rPr>
                <w:rFonts w:ascii="仿宋_GB2312" w:hAnsi="仿宋_GB2312" w:cs="仿宋_GB2312" w:eastAsia="仿宋_GB2312"/>
                <w:sz w:val="28"/>
              </w:rPr>
              <w:t>交货时间：签订合同</w:t>
            </w:r>
            <w:r>
              <w:rPr>
                <w:rFonts w:ascii="仿宋_GB2312" w:hAnsi="仿宋_GB2312" w:cs="仿宋_GB2312" w:eastAsia="仿宋_GB2312"/>
                <w:sz w:val="28"/>
              </w:rPr>
              <w:t>90天，完成交付并验收合格（供应商可自报最短交货期）。</w:t>
            </w:r>
          </w:p>
          <w:p>
            <w:pPr>
              <w:pStyle w:val="null5"/>
              <w:jc w:val="both"/>
            </w:pPr>
            <w:r>
              <w:rPr>
                <w:rFonts w:ascii="仿宋_GB2312" w:hAnsi="仿宋_GB2312" w:cs="仿宋_GB2312" w:eastAsia="仿宋_GB2312"/>
                <w:sz w:val="28"/>
              </w:rPr>
              <w:t xml:space="preserve">     10</w:t>
            </w:r>
            <w:r>
              <w:rPr>
                <w:rFonts w:ascii="仿宋_GB2312" w:hAnsi="仿宋_GB2312" w:cs="仿宋_GB2312" w:eastAsia="仿宋_GB2312"/>
                <w:sz w:val="28"/>
              </w:rPr>
              <w:t>）</w:t>
            </w:r>
            <w:r>
              <w:rPr>
                <w:rFonts w:ascii="仿宋_GB2312" w:hAnsi="仿宋_GB2312" w:cs="仿宋_GB2312" w:eastAsia="仿宋_GB2312"/>
                <w:sz w:val="28"/>
              </w:rPr>
              <w:t>自中标公告发布之日起</w:t>
            </w:r>
            <w:r>
              <w:rPr>
                <w:rFonts w:ascii="仿宋_GB2312" w:hAnsi="仿宋_GB2312" w:cs="仿宋_GB2312" w:eastAsia="仿宋_GB2312"/>
                <w:sz w:val="28"/>
              </w:rPr>
              <w:t>3个工作日内成交供应商向采购人指定账户缴纳合同金额5%的履约保证金</w:t>
            </w:r>
            <w:r>
              <w:rPr>
                <w:rFonts w:ascii="仿宋_GB2312" w:hAnsi="仿宋_GB2312" w:cs="仿宋_GB2312" w:eastAsia="仿宋_GB2312"/>
                <w:sz w:val="28"/>
              </w:rPr>
              <w:t>（</w:t>
            </w:r>
            <w:r>
              <w:rPr>
                <w:rFonts w:ascii="仿宋_GB2312" w:hAnsi="仿宋_GB2312" w:cs="仿宋_GB2312" w:eastAsia="仿宋_GB2312"/>
                <w:sz w:val="28"/>
              </w:rPr>
              <w:t>若成交供应商提供了符合要求的《中小企业声明函》，履约保证金为合同金额的</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。在合同签订生效且具备实施条件后，成交供应商向项目负责人或指定人申请合同金额</w:t>
            </w:r>
            <w:r>
              <w:rPr>
                <w:rFonts w:ascii="仿宋_GB2312" w:hAnsi="仿宋_GB2312" w:cs="仿宋_GB2312" w:eastAsia="仿宋_GB2312"/>
                <w:sz w:val="28"/>
              </w:rPr>
              <w:t>30%的预付款，采购人确定后7个工作日内支付。项目验收合格后7个工作日内，支付剩余合同货款</w:t>
            </w:r>
          </w:p>
          <w:p>
            <w:pPr>
              <w:pStyle w:val="null5"/>
              <w:jc w:val="both"/>
            </w:pPr>
            <w:r>
              <w:rPr>
                <w:rFonts w:ascii="仿宋_GB2312" w:hAnsi="仿宋_GB2312" w:cs="仿宋_GB2312" w:eastAsia="仿宋_GB2312"/>
              </w:rPr>
              <w:t xml:space="preserve"> </w:t>
            </w:r>
          </w:p>
          <w:p>
            <w:pPr>
              <w:pStyle w:val="null5"/>
              <w:jc w:val="both"/>
            </w:pPr>
            <w:r>
              <w:rPr>
                <w:rFonts w:ascii="仿宋_GB2312" w:hAnsi="仿宋_GB2312" w:cs="仿宋_GB2312" w:eastAsia="仿宋_GB2312"/>
                <w:sz w:val="27"/>
              </w:rPr>
              <w:t>注：“▲”标识为重点参数</w:t>
            </w:r>
          </w:p>
          <w:p>
            <w:pPr>
              <w:pStyle w:val="null5"/>
              <w:jc w:val="left"/>
            </w:pPr>
            <w:r>
              <w:rPr>
                <w:rFonts w:ascii="仿宋_GB2312" w:hAnsi="仿宋_GB2312" w:cs="仿宋_GB2312" w:eastAsia="仿宋_GB2312"/>
              </w:rPr>
              <w:t xml:space="preserve"> </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详见技术参数</w:t>
            </w:r>
          </w:p>
        </w:tc>
        <w:tc>
          <w:tcPr>
            <w:tcW w:type="dxa" w:w="4153"/>
          </w:tcPr>
          <w:p>
            <w:pPr>
              <w:pStyle w:val="null5"/>
              <w:jc w:val="left"/>
            </w:pPr>
            <w:r>
              <w:rPr>
                <w:rFonts w:ascii="仿宋_GB2312" w:hAnsi="仿宋_GB2312" w:cs="仿宋_GB2312" w:eastAsia="仿宋_GB2312"/>
              </w:rPr>
              <w:t>详见技术参数</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签订合同90天，完成交付并验收合格</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中标公告发布之日起3个工作日内成交供应商向采购人指定账户缴纳合同金额5%的履约保证金（若成交供应商提供了符合要求的《中小企业声明函》，履约保证金为合同金额的2%）。在合同签订生效且具备实施条件后，成交供应商向项目负责人或指定人申请合同金额30%的预付款，采购人确定后，达到付款条件起7日内，支付合同总金额的30.00%</w:t>
            </w:r>
          </w:p>
          <w:p>
            <w:pPr>
              <w:pStyle w:val="null5"/>
              <w:jc w:val="left"/>
            </w:pPr>
            <w:r>
              <w:rPr>
                <w:rFonts w:ascii="仿宋_GB2312" w:hAnsi="仿宋_GB2312" w:cs="仿宋_GB2312" w:eastAsia="仿宋_GB2312"/>
              </w:rPr>
              <w:t>2、项目验收合格后，达到付款条件起7日内，支付合同总金额的70.00%</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rPr>
        <w:t>执行采购文件要求</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rPr>
        <w:t>执行采购文件要求</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无重大违法记录声明函、商业信誉、财务会计制度、缴纳税收和社保的承诺函、法定代表人资格证明书或法定代表人授权委托书、具有独立承担民事责任的能力证明文件、具备履行合同所必需设备和专业技术能力的声明函</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投标人承诺函、供应商应提交的相关证明材料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磋商有效期须满足供应商须知附表。响应有效期 日历日</w:t>
            </w:r>
          </w:p>
        </w:tc>
        <w:tc>
          <w:tcPr>
            <w:tcW w:type="dxa" w:w="1661"/>
          </w:tcPr>
          <w:p>
            <w:pPr>
              <w:pStyle w:val="null5"/>
              <w:jc w:val="left"/>
            </w:pPr>
            <w:r>
              <w:rPr>
                <w:rFonts w:ascii="仿宋_GB2312" w:hAnsi="仿宋_GB2312" w:cs="仿宋_GB2312" w:eastAsia="仿宋_GB2312"/>
              </w:rPr>
              <w:t>投标人承诺函、投标有效期、供应商应提交的相关证明材料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投标人承诺函、供应商应提交的相关证明材料</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技术部分66.00分</w:t>
            </w:r>
          </w:p>
          <w:p>
            <w:pPr>
              <w:pStyle w:val="null5"/>
            </w:pPr>
            <w:r>
              <w:rPr>
                <w:rFonts w:ascii="仿宋_GB2312" w:hAnsi="仿宋_GB2312" w:cs="仿宋_GB2312" w:eastAsia="仿宋_GB2312"/>
              </w:rPr>
              <w:t>商务部分4.00分</w:t>
            </w:r>
          </w:p>
          <w:p>
            <w:pPr>
              <w:pStyle w:val="null5"/>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技术响应</w:t>
            </w:r>
          </w:p>
        </w:tc>
        <w:tc>
          <w:tcPr>
            <w:tcW w:type="dxa" w:w="2575"/>
          </w:tcPr>
          <w:p>
            <w:pPr>
              <w:pStyle w:val="null5"/>
            </w:pPr>
            <w:r>
              <w:rPr>
                <w:rFonts w:ascii="仿宋_GB2312" w:hAnsi="仿宋_GB2312" w:cs="仿宋_GB2312" w:eastAsia="仿宋_GB2312"/>
              </w:rPr>
              <w:t>根据供应商提供的技术响应情况进行综合评审，产品的各项参数及功能要求完全满足竞争性磋商文件技术要求的得30分；每发现一处不满足（负偏离）扣1分，“▲”为重点参数，重点参数每发现一处不满足（负偏离）扣2分，扣完为止。</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技术响应</w:t>
            </w:r>
          </w:p>
          <w:p>
            <w:pPr>
              <w:pStyle w:val="null5"/>
            </w:pPr>
            <w:r>
              <w:rPr>
                <w:rFonts w:ascii="仿宋_GB2312" w:hAnsi="仿宋_GB2312" w:cs="仿宋_GB2312" w:eastAsia="仿宋_GB2312"/>
              </w:rPr>
              <w:t>技术参数响应表</w:t>
            </w:r>
          </w:p>
          <w:p>
            <w:pPr>
              <w:pStyle w:val="null5"/>
            </w:pPr>
            <w:r>
              <w:rPr>
                <w:rFonts w:ascii="仿宋_GB2312" w:hAnsi="仿宋_GB2312" w:cs="仿宋_GB2312" w:eastAsia="仿宋_GB2312"/>
              </w:rPr>
              <w:t>其他材料</w:t>
            </w:r>
          </w:p>
        </w:tc>
      </w:tr>
      <w:tr>
        <w:tc>
          <w:tcPr>
            <w:tcW w:type="dxa" w:w="831"/>
            <w:vMerge/>
          </w:tcPr>
          <w:p/>
        </w:tc>
        <w:tc>
          <w:tcPr>
            <w:tcW w:type="dxa" w:w="1661"/>
          </w:tcPr>
          <w:p>
            <w:pPr>
              <w:pStyle w:val="null5"/>
            </w:pPr>
            <w:r>
              <w:rPr>
                <w:rFonts w:ascii="仿宋_GB2312" w:hAnsi="仿宋_GB2312" w:cs="仿宋_GB2312" w:eastAsia="仿宋_GB2312"/>
              </w:rPr>
              <w:t>方案设计</w:t>
            </w:r>
          </w:p>
        </w:tc>
        <w:tc>
          <w:tcPr>
            <w:tcW w:type="dxa" w:w="2575"/>
          </w:tcPr>
          <w:p>
            <w:pPr>
              <w:pStyle w:val="null5"/>
            </w:pPr>
            <w:r>
              <w:rPr>
                <w:rFonts w:ascii="仿宋_GB2312" w:hAnsi="仿宋_GB2312" w:cs="仿宋_GB2312" w:eastAsia="仿宋_GB2312"/>
              </w:rPr>
              <w:t>根据供应商提供的方案设计进行综合评审，在对本项目详细理解的基础上，编制针对本项目的设计方案，包括①整体架构设计②数据的集成与接口设计③产品功能描述设计④信息标准设计⑤软件系统安全设计，以上五项满分得10分，每缺一项扣2分，每发现一处瑕疵扣 1 分，扣完为止。</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方案设计</w:t>
            </w:r>
          </w:p>
        </w:tc>
      </w:tr>
      <w:tr>
        <w:tc>
          <w:tcPr>
            <w:tcW w:type="dxa" w:w="831"/>
            <w:vMerge/>
          </w:tcPr>
          <w:p/>
        </w:tc>
        <w:tc>
          <w:tcPr>
            <w:tcW w:type="dxa" w:w="1661"/>
          </w:tcPr>
          <w:p>
            <w:pPr>
              <w:pStyle w:val="null5"/>
            </w:pPr>
            <w:r>
              <w:rPr>
                <w:rFonts w:ascii="仿宋_GB2312" w:hAnsi="仿宋_GB2312" w:cs="仿宋_GB2312" w:eastAsia="仿宋_GB2312"/>
              </w:rPr>
              <w:t>实施方案</w:t>
            </w:r>
          </w:p>
        </w:tc>
        <w:tc>
          <w:tcPr>
            <w:tcW w:type="dxa" w:w="2575"/>
          </w:tcPr>
          <w:p>
            <w:pPr>
              <w:pStyle w:val="null5"/>
            </w:pPr>
            <w:r>
              <w:rPr>
                <w:rFonts w:ascii="仿宋_GB2312" w:hAnsi="仿宋_GB2312" w:cs="仿宋_GB2312" w:eastAsia="仿宋_GB2312"/>
              </w:rPr>
              <w:t>根据供应商提供的实施方案进行综合评审，包括①实施进度计划安排②安装调试方案③系统上门巡检方案④系统上门响应时间以上四项满分得8分，每缺一项扣2分，每发现一处瑕疵扣1分，扣完为止，未提供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实施方案</w:t>
            </w:r>
          </w:p>
        </w:tc>
      </w:tr>
      <w:tr>
        <w:tc>
          <w:tcPr>
            <w:tcW w:type="dxa" w:w="831"/>
            <w:vMerge/>
          </w:tcPr>
          <w:p/>
        </w:tc>
        <w:tc>
          <w:tcPr>
            <w:tcW w:type="dxa" w:w="1661"/>
          </w:tcPr>
          <w:p>
            <w:pPr>
              <w:pStyle w:val="null5"/>
            </w:pPr>
            <w:r>
              <w:rPr>
                <w:rFonts w:ascii="仿宋_GB2312" w:hAnsi="仿宋_GB2312" w:cs="仿宋_GB2312" w:eastAsia="仿宋_GB2312"/>
              </w:rPr>
              <w:t>人员配备</w:t>
            </w:r>
          </w:p>
        </w:tc>
        <w:tc>
          <w:tcPr>
            <w:tcW w:type="dxa" w:w="2575"/>
          </w:tcPr>
          <w:p>
            <w:pPr>
              <w:pStyle w:val="null5"/>
            </w:pPr>
            <w:r>
              <w:rPr>
                <w:rFonts w:ascii="仿宋_GB2312" w:hAnsi="仿宋_GB2312" w:cs="仿宋_GB2312" w:eastAsia="仿宋_GB2312"/>
              </w:rPr>
              <w:t>本项目团队人员中具有高级或中级系统集成项目管理工程师资质的，高级得3分，中级得2分，最高6分，不重复计分。 （须提供相关人员证书复印件及社保证明复印件加盖供应商公章）</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人员配备</w:t>
            </w:r>
          </w:p>
        </w:tc>
      </w:tr>
      <w:tr>
        <w:tc>
          <w:tcPr>
            <w:tcW w:type="dxa" w:w="831"/>
            <w:vMerge/>
          </w:tcPr>
          <w:p/>
        </w:tc>
        <w:tc>
          <w:tcPr>
            <w:tcW w:type="dxa" w:w="1661"/>
          </w:tcPr>
          <w:p>
            <w:pPr>
              <w:pStyle w:val="null5"/>
            </w:pPr>
            <w:r>
              <w:rPr>
                <w:rFonts w:ascii="仿宋_GB2312" w:hAnsi="仿宋_GB2312" w:cs="仿宋_GB2312" w:eastAsia="仿宋_GB2312"/>
              </w:rPr>
              <w:t>对接方案</w:t>
            </w:r>
          </w:p>
        </w:tc>
        <w:tc>
          <w:tcPr>
            <w:tcW w:type="dxa" w:w="2575"/>
          </w:tcPr>
          <w:p>
            <w:pPr>
              <w:pStyle w:val="null5"/>
            </w:pPr>
            <w:r>
              <w:rPr>
                <w:rFonts w:ascii="仿宋_GB2312" w:hAnsi="仿宋_GB2312" w:cs="仿宋_GB2312" w:eastAsia="仿宋_GB2312"/>
              </w:rPr>
              <w:t>对接门户系统、资产系统与财务系统，对方案完整、逻辑清晰、包含接口费用承诺三项进行综合评审，满分12分，每缺一项对接方案扣4分，每发现一处瑕疵、不合理、不完善扣1分，扣完为止。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对接方案</w:t>
            </w:r>
          </w:p>
        </w:tc>
      </w:tr>
      <w:tr>
        <w:tc>
          <w:tcPr>
            <w:tcW w:type="dxa" w:w="831"/>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售后服务</w:t>
            </w:r>
          </w:p>
        </w:tc>
        <w:tc>
          <w:tcPr>
            <w:tcW w:type="dxa" w:w="2575"/>
          </w:tcPr>
          <w:p>
            <w:pPr>
              <w:pStyle w:val="null5"/>
            </w:pPr>
            <w:r>
              <w:rPr>
                <w:rFonts w:ascii="仿宋_GB2312" w:hAnsi="仿宋_GB2312" w:cs="仿宋_GB2312" w:eastAsia="仿宋_GB2312"/>
              </w:rPr>
              <w:t>根据供应商提供的售后服务进行综合评审，包含①服务体系②培训方案③上门巡检④本地化服务以上四项满分4分，每发现一处瑕疵扣1分，扣完为止。</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售后服务承诺书</w:t>
            </w:r>
          </w:p>
          <w:p>
            <w:pPr>
              <w:pStyle w:val="null5"/>
            </w:pPr>
            <w:r>
              <w:rPr>
                <w:rFonts w:ascii="仿宋_GB2312" w:hAnsi="仿宋_GB2312" w:cs="仿宋_GB2312" w:eastAsia="仿宋_GB2312"/>
              </w:rPr>
              <w:t>商务应答表</w:t>
            </w:r>
          </w:p>
          <w:p>
            <w:pPr>
              <w:pStyle w:val="null5"/>
            </w:pPr>
            <w:r>
              <w:rPr>
                <w:rFonts w:ascii="仿宋_GB2312" w:hAnsi="仿宋_GB2312" w:cs="仿宋_GB2312" w:eastAsia="仿宋_GB2312"/>
              </w:rPr>
              <w:t>售后服务</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（1）审计业务管理信息系统响应报价低于全部通过符合性审查供应商响应报价平均值50%的，即审计业务管理信息系统响应报价&lt;全部通过符合性审查供应商响应报价平均值×50%。 （2）审计业务管理信息系统响应报价低于通过符合性审查且报价次低供应商响应报价50%的，即审计业务管理信息系统响应报价&lt;通过符合性审查且报价次低供应商响应报价×50%。 （3）审计业务管理信息系统响应报价低于最高限价45%的，即审计业务管理信息系统响应报价&lt;最高限价×45%。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封面</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开标（报价）一览表、投标（响应）报价明细表、中小企业声明函、残疾人福利性单位声明函、监狱企业的证明文件</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（1）审计业务管理信息系统响应报价低于全部通过符合性审查供应商响应报价平均值50%的，即审计业务管理信息系统响应报价&lt;全部通过符合性审查供应商响应报价平均值×50%。</w:t>
              <w:br/>
              <w:t>（2）审计业务管理信息系统响应报价低于通过符合性审查且报价次低供应商响应报价50%的，即审计业务管理信息系统响应报价&lt;通过符合性审查且报价次低供应商响应报价×50%。</w:t>
              <w:br/>
              <w:t>（3）审计业务管理信息系统响应报价低于最高限价45%的，即审计业务管理信息系统响应报价&lt;最高限价×45%。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详见附件：中小企业声明函</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详见附件：残疾人福利性单位声明函</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详见附件：监狱企业的证明文件</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详见附件：合同模板（参考)货物.docx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