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5"/>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center"/>
        <w:outlineLvl w:val="0"/>
      </w:pPr>
      <w:r>
        <w:rPr>
          <w:rFonts w:ascii="仿宋_GB2312" w:hAnsi="仿宋_GB2312" w:cs="仿宋_GB2312" w:eastAsia="仿宋_GB2312"/>
          <w:sz w:val="48"/>
          <w:b/>
        </w:rPr>
        <w:t>政府采购项目采购需求</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center"/>
      </w:pPr>
      <w:r>
        <w:rPr>
          <w:rFonts w:ascii="仿宋_GB2312" w:hAnsi="仿宋_GB2312" w:cs="仿宋_GB2312" w:eastAsia="仿宋_GB2312"/>
          <w:b/>
        </w:rPr>
        <w:t>项目名称：</w:t>
      </w:r>
      <w:r>
        <w:rPr>
          <w:rFonts w:ascii="仿宋_GB2312" w:hAnsi="仿宋_GB2312" w:cs="仿宋_GB2312" w:eastAsia="仿宋_GB2312"/>
          <w:b/>
        </w:rPr>
        <w:t>山东第一医科大学济南校区南区绿篱屏障建设项目</w:t>
      </w:r>
    </w:p>
    <w:p>
      <w:pPr>
        <w:pStyle w:val="null5"/>
        <w:jc w:val="center"/>
      </w:pPr>
      <w:r>
        <w:rPr>
          <w:rFonts w:ascii="仿宋_GB2312" w:hAnsi="仿宋_GB2312" w:cs="仿宋_GB2312" w:eastAsia="仿宋_GB2312"/>
          <w:b/>
        </w:rPr>
        <w:t>所属年度：</w:t>
      </w:r>
      <w:r>
        <w:rPr>
          <w:rFonts w:ascii="仿宋_GB2312" w:hAnsi="仿宋_GB2312" w:cs="仿宋_GB2312" w:eastAsia="仿宋_GB2312"/>
          <w:b/>
        </w:rPr>
        <w:t>2026</w:t>
      </w:r>
    </w:p>
    <w:p>
      <w:pPr>
        <w:pStyle w:val="null5"/>
        <w:jc w:val="center"/>
      </w:pPr>
      <w:r>
        <w:rPr>
          <w:rFonts w:ascii="仿宋_GB2312" w:hAnsi="仿宋_GB2312" w:cs="仿宋_GB2312" w:eastAsia="仿宋_GB2312"/>
          <w:b/>
        </w:rPr>
        <w:t>编制单位：</w:t>
      </w:r>
      <w:r>
        <w:rPr>
          <w:rFonts w:ascii="仿宋_GB2312" w:hAnsi="仿宋_GB2312" w:cs="仿宋_GB2312" w:eastAsia="仿宋_GB2312"/>
          <w:b/>
        </w:rPr>
        <w:t>山东第一医科大学</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left"/>
      </w:pPr>
      <w:r>
        <w:rPr>
          <w:rFonts w:ascii="仿宋_GB2312" w:hAnsi="仿宋_GB2312" w:cs="仿宋_GB2312" w:eastAsia="仿宋_GB2312"/>
        </w:rPr>
        <w:t>　</w:t>
      </w:r>
    </w:p>
    <w:p>
      <w:pPr>
        <w:pStyle w:val="null5"/>
        <w:jc w:val="center"/>
      </w:pPr>
      <w:r>
        <w:rPr>
          <w:rFonts w:ascii="仿宋_GB2312" w:hAnsi="仿宋_GB2312" w:cs="仿宋_GB2312" w:eastAsia="仿宋_GB2312"/>
          <w:b/>
        </w:rPr>
        <w:t>编制时间：</w:t>
      </w:r>
      <w:r>
        <w:rPr>
          <w:rFonts w:ascii="仿宋_GB2312" w:hAnsi="仿宋_GB2312" w:cs="仿宋_GB2312" w:eastAsia="仿宋_GB2312"/>
          <w:b/>
        </w:rPr>
        <w:t>2026年09月</w:t>
      </w:r>
    </w:p>
    <w:p>
      <w:pPr>
        <w:pStyle w:val="null5"/>
      </w:pPr>
      <w:r>
        <w:rPr>
          <w:rFonts w:ascii="仿宋_GB2312" w:hAnsi="仿宋_GB2312" w:cs="仿宋_GB2312" w:eastAsia="仿宋_GB2312"/>
        </w:rPr>
        <w:t xml:space="preserve"> </w:t>
        <w:br/>
        <w:br w:type="page"/>
      </w:r>
    </w:p>
    <w:p>
      <w:pPr>
        <w:pStyle w:val="null5"/>
        <w:jc w:val="left"/>
        <w:outlineLvl w:val="1"/>
      </w:pPr>
      <w:r>
        <w:rPr>
          <w:rFonts w:ascii="仿宋_GB2312" w:hAnsi="仿宋_GB2312" w:cs="仿宋_GB2312" w:eastAsia="仿宋_GB2312"/>
          <w:sz w:val="36"/>
          <w:b/>
        </w:rPr>
        <w:t>一、项目总体情况</w:t>
      </w:r>
    </w:p>
    <w:p>
      <w:pPr>
        <w:pStyle w:val="null5"/>
        <w:ind w:firstLine="480"/>
        <w:jc w:val="left"/>
      </w:pPr>
      <w:r>
        <w:rPr>
          <w:rFonts w:ascii="仿宋_GB2312" w:hAnsi="仿宋_GB2312" w:cs="仿宋_GB2312" w:eastAsia="仿宋_GB2312"/>
        </w:rPr>
        <w:t xml:space="preserve">1、项目名称： </w:t>
      </w:r>
      <w:r>
        <w:rPr>
          <w:rFonts w:ascii="仿宋_GB2312" w:hAnsi="仿宋_GB2312" w:cs="仿宋_GB2312" w:eastAsia="仿宋_GB2312"/>
        </w:rPr>
        <w:t>山东第一医科大学济南校区南区绿篱屏障建设项目</w:t>
      </w:r>
    </w:p>
    <w:p>
      <w:pPr>
        <w:pStyle w:val="null5"/>
        <w:ind w:firstLine="480"/>
        <w:jc w:val="left"/>
      </w:pPr>
      <w:r>
        <w:rPr>
          <w:rFonts w:ascii="仿宋_GB2312" w:hAnsi="仿宋_GB2312" w:cs="仿宋_GB2312" w:eastAsia="仿宋_GB2312"/>
        </w:rPr>
        <w:t xml:space="preserve">2、项目所属年度： </w:t>
      </w:r>
      <w:r>
        <w:rPr>
          <w:rFonts w:ascii="仿宋_GB2312" w:hAnsi="仿宋_GB2312" w:cs="仿宋_GB2312" w:eastAsia="仿宋_GB2312"/>
        </w:rPr>
        <w:t>2026</w:t>
      </w:r>
    </w:p>
    <w:p>
      <w:pPr>
        <w:pStyle w:val="null5"/>
        <w:ind w:firstLine="480"/>
        <w:jc w:val="left"/>
      </w:pPr>
      <w:r>
        <w:rPr>
          <w:rFonts w:ascii="仿宋_GB2312" w:hAnsi="仿宋_GB2312" w:cs="仿宋_GB2312" w:eastAsia="仿宋_GB2312"/>
        </w:rPr>
        <w:t xml:space="preserve">3、项目所属分类： </w:t>
      </w:r>
      <w:r>
        <w:rPr>
          <w:rFonts w:ascii="仿宋_GB2312" w:hAnsi="仿宋_GB2312" w:cs="仿宋_GB2312" w:eastAsia="仿宋_GB2312"/>
        </w:rPr>
        <w:t>工程</w:t>
      </w:r>
    </w:p>
    <w:p>
      <w:pPr>
        <w:pStyle w:val="null5"/>
        <w:ind w:firstLine="480"/>
        <w:jc w:val="left"/>
      </w:pPr>
      <w:r>
        <w:rPr>
          <w:rFonts w:ascii="仿宋_GB2312" w:hAnsi="仿宋_GB2312" w:cs="仿宋_GB2312" w:eastAsia="仿宋_GB2312"/>
        </w:rPr>
        <w:t xml:space="preserve">4、预算金额（元）： </w:t>
      </w:r>
      <w:r>
        <w:rPr>
          <w:rFonts w:ascii="仿宋_GB2312" w:hAnsi="仿宋_GB2312" w:cs="仿宋_GB2312" w:eastAsia="仿宋_GB2312"/>
        </w:rPr>
        <w:t>194,874.77</w:t>
      </w:r>
      <w:r>
        <w:rPr>
          <w:rFonts w:ascii="仿宋_GB2312" w:hAnsi="仿宋_GB2312" w:cs="仿宋_GB2312" w:eastAsia="仿宋_GB2312"/>
        </w:rPr>
        <w:t xml:space="preserve"> ，大写（人民币）： </w:t>
      </w:r>
      <w:r>
        <w:rPr>
          <w:rFonts w:ascii="仿宋_GB2312" w:hAnsi="仿宋_GB2312" w:cs="仿宋_GB2312" w:eastAsia="仿宋_GB2312"/>
        </w:rPr>
        <w:t>壹拾玖万肆仟捌佰柒拾肆元柒角柒分</w:t>
      </w:r>
    </w:p>
    <w:p>
      <w:pPr>
        <w:pStyle w:val="null5"/>
        <w:ind w:firstLine="480"/>
        <w:jc w:val="left"/>
      </w:pPr>
      <w:r>
        <w:rPr>
          <w:rFonts w:ascii="仿宋_GB2312" w:hAnsi="仿宋_GB2312" w:cs="仿宋_GB2312" w:eastAsia="仿宋_GB2312"/>
        </w:rPr>
        <w:t>5、项目概况：</w:t>
      </w:r>
    </w:p>
    <w:p>
      <w:pPr>
        <w:pStyle w:val="null5"/>
        <w:ind w:firstLine="480"/>
        <w:jc w:val="left"/>
      </w:pPr>
      <w:r>
        <w:rPr>
          <w:rFonts w:ascii="仿宋_GB2312" w:hAnsi="仿宋_GB2312" w:cs="仿宋_GB2312" w:eastAsia="仿宋_GB2312"/>
        </w:rPr>
        <w:t>本工程为山东第一医科大学济南校区南区绿篱屏障建设项目，位于科创中心南侧马路人行道边(东西向)及科创中心东侧空地的南侧和东侧。济南校区南区(科创中心、校史馆、口腔楼)原有规划为开放式区域，南区道路人流和车流可以自由通行，并且没有栏杆围挡等物理屏障，非道路区域也很容易出入。为保证校园综合管理、降低师生安全风险。现在急需要在南区剩余开放位置建设既不影响美观，又能保证安全的绿篱物理屏障。</w:t>
      </w:r>
    </w:p>
    <w:p>
      <w:pPr>
        <w:pStyle w:val="null5"/>
        <w:ind w:firstLine="480"/>
        <w:jc w:val="left"/>
      </w:pPr>
      <w:r>
        <w:rPr>
          <w:rFonts w:ascii="仿宋_GB2312" w:hAnsi="仿宋_GB2312" w:cs="仿宋_GB2312" w:eastAsia="仿宋_GB2312"/>
        </w:rPr>
        <w:t>6、本项目是否有为采购项目提供整体设计、规范编制或者项目管理、监理、检测等服务的供应商：</w:t>
      </w:r>
    </w:p>
    <w:p>
      <w:pPr>
        <w:pStyle w:val="null5"/>
        <w:ind w:firstLine="480"/>
        <w:jc w:val="left"/>
      </w:pPr>
      <w:r>
        <w:rPr>
          <w:rFonts w:ascii="仿宋_GB2312" w:hAnsi="仿宋_GB2312" w:cs="仿宋_GB2312" w:eastAsia="仿宋_GB2312"/>
        </w:rPr>
        <w:t>否</w:t>
      </w:r>
    </w:p>
    <w:p>
      <w:pPr>
        <w:pStyle w:val="null5"/>
        <w:jc w:val="left"/>
        <w:outlineLvl w:val="1"/>
      </w:pPr>
      <w:r>
        <w:rPr>
          <w:rFonts w:ascii="仿宋_GB2312" w:hAnsi="仿宋_GB2312" w:cs="仿宋_GB2312" w:eastAsia="仿宋_GB2312"/>
          <w:sz w:val="36"/>
          <w:b/>
        </w:rPr>
        <w:t>二、项目需求调查情况</w:t>
      </w:r>
    </w:p>
    <w:p>
      <w:pPr>
        <w:pStyle w:val="null5"/>
        <w:ind w:firstLine="480"/>
        <w:jc w:val="left"/>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5"/>
        <w:jc w:val="left"/>
        <w:outlineLvl w:val="2"/>
      </w:pPr>
      <w:r>
        <w:rPr>
          <w:rFonts w:ascii="仿宋_GB2312" w:hAnsi="仿宋_GB2312" w:cs="仿宋_GB2312" w:eastAsia="仿宋_GB2312"/>
          <w:sz w:val="28"/>
          <w:b/>
        </w:rPr>
        <w:t>1、需求调查方式</w:t>
      </w:r>
    </w:p>
    <w:p>
      <w:pPr>
        <w:pStyle w:val="null5"/>
        <w:ind w:firstLine="480"/>
        <w:jc w:val="left"/>
        <w:outlineLvl w:val="2"/>
      </w:pPr>
      <w:r>
        <w:rPr>
          <w:rFonts w:ascii="仿宋_GB2312" w:hAnsi="仿宋_GB2312" w:cs="仿宋_GB2312" w:eastAsia="仿宋_GB2312"/>
          <w:sz w:val="28"/>
          <w:b/>
        </w:rPr>
        <w:t>2、需求调查对象</w:t>
      </w:r>
    </w:p>
    <w:p>
      <w:pPr>
        <w:pStyle w:val="null5"/>
        <w:ind w:firstLine="480"/>
        <w:jc w:val="left"/>
        <w:outlineLvl w:val="2"/>
      </w:pPr>
      <w:r>
        <w:rPr>
          <w:rFonts w:ascii="仿宋_GB2312" w:hAnsi="仿宋_GB2312" w:cs="仿宋_GB2312" w:eastAsia="仿宋_GB2312"/>
          <w:sz w:val="28"/>
          <w:b/>
        </w:rPr>
        <w:t>3、需求调查结果</w:t>
      </w:r>
    </w:p>
    <w:p>
      <w:pPr>
        <w:pStyle w:val="null5"/>
        <w:ind w:firstLine="480"/>
        <w:jc w:val="left"/>
      </w:pPr>
      <w:r>
        <w:rPr>
          <w:rFonts w:ascii="仿宋_GB2312" w:hAnsi="仿宋_GB2312" w:cs="仿宋_GB2312" w:eastAsia="仿宋_GB2312"/>
        </w:rPr>
        <w:t>1）相关产业发展情况</w:t>
      </w:r>
    </w:p>
    <w:p>
      <w:pPr>
        <w:pStyle w:val="null5"/>
        <w:ind w:firstLine="480"/>
        <w:jc w:val="left"/>
      </w:pPr>
      <w:r>
        <w:rPr>
          <w:rFonts w:ascii="仿宋_GB2312" w:hAnsi="仿宋_GB2312" w:cs="仿宋_GB2312" w:eastAsia="仿宋_GB2312"/>
        </w:rPr>
        <w:t>2）市场供给情况</w:t>
      </w:r>
    </w:p>
    <w:p>
      <w:pPr>
        <w:pStyle w:val="null5"/>
        <w:ind w:firstLine="480"/>
        <w:jc w:val="left"/>
      </w:pPr>
      <w:r>
        <w:rPr>
          <w:rFonts w:ascii="仿宋_GB2312" w:hAnsi="仿宋_GB2312" w:cs="仿宋_GB2312" w:eastAsia="仿宋_GB2312"/>
        </w:rPr>
        <w:t>3）同类采购项目历史成交信息情况</w:t>
      </w:r>
    </w:p>
    <w:p>
      <w:pPr>
        <w:pStyle w:val="null5"/>
        <w:ind w:firstLine="480"/>
        <w:jc w:val="left"/>
      </w:pPr>
      <w:r>
        <w:rPr>
          <w:rFonts w:ascii="仿宋_GB2312" w:hAnsi="仿宋_GB2312" w:cs="仿宋_GB2312" w:eastAsia="仿宋_GB2312"/>
        </w:rPr>
        <w:t>4）可能涉及的运行维护、升级更新、备品备件、耗材等后续采购情况</w:t>
      </w:r>
    </w:p>
    <w:p>
      <w:pPr>
        <w:pStyle w:val="null5"/>
        <w:ind w:firstLine="480"/>
        <w:jc w:val="left"/>
      </w:pPr>
      <w:r>
        <w:rPr>
          <w:rFonts w:ascii="仿宋_GB2312" w:hAnsi="仿宋_GB2312" w:cs="仿宋_GB2312" w:eastAsia="仿宋_GB2312"/>
        </w:rPr>
        <w:t>5）其他相关情况</w:t>
      </w:r>
    </w:p>
    <w:p>
      <w:pPr>
        <w:pStyle w:val="null5"/>
        <w:ind w:firstLine="480"/>
        <w:jc w:val="left"/>
        <w:outlineLvl w:val="1"/>
      </w:pPr>
      <w:r>
        <w:rPr>
          <w:rFonts w:ascii="仿宋_GB2312" w:hAnsi="仿宋_GB2312" w:cs="仿宋_GB2312" w:eastAsia="仿宋_GB2312"/>
          <w:sz w:val="36"/>
          <w:b/>
        </w:rPr>
        <w:t>三、项目采购实施计划</w:t>
      </w:r>
    </w:p>
    <w:p>
      <w:pPr>
        <w:pStyle w:val="null5"/>
        <w:ind w:firstLine="480"/>
        <w:jc w:val="left"/>
      </w:pPr>
      <w:r>
        <w:rPr>
          <w:rFonts w:ascii="仿宋_GB2312" w:hAnsi="仿宋_GB2312" w:cs="仿宋_GB2312" w:eastAsia="仿宋_GB2312"/>
        </w:rPr>
        <w:t xml:space="preserve">1、采购组织形式： </w:t>
      </w:r>
      <w:r>
        <w:rPr>
          <w:rFonts w:ascii="仿宋_GB2312" w:hAnsi="仿宋_GB2312" w:cs="仿宋_GB2312" w:eastAsia="仿宋_GB2312"/>
        </w:rPr>
        <w:t>分散采购</w:t>
      </w:r>
    </w:p>
    <w:p>
      <w:pPr>
        <w:pStyle w:val="null5"/>
        <w:ind w:firstLine="480"/>
        <w:jc w:val="left"/>
      </w:pPr>
      <w:r>
        <w:rPr>
          <w:rFonts w:ascii="仿宋_GB2312" w:hAnsi="仿宋_GB2312" w:cs="仿宋_GB2312" w:eastAsia="仿宋_GB2312"/>
        </w:rPr>
        <w:t xml:space="preserve">2、采购方式： </w:t>
      </w:r>
      <w:r>
        <w:rPr>
          <w:rFonts w:ascii="仿宋_GB2312" w:hAnsi="仿宋_GB2312" w:cs="仿宋_GB2312" w:eastAsia="仿宋_GB2312"/>
        </w:rPr>
        <w:t>竞争性磋商</w:t>
      </w:r>
    </w:p>
    <w:p>
      <w:pPr>
        <w:pStyle w:val="null5"/>
        <w:ind w:firstLine="480"/>
        <w:jc w:val="left"/>
      </w:pPr>
      <w:r>
        <w:rPr>
          <w:rFonts w:ascii="仿宋_GB2312" w:hAnsi="仿宋_GB2312" w:cs="仿宋_GB2312" w:eastAsia="仿宋_GB2312"/>
        </w:rPr>
        <w:t xml:space="preserve">3、本项目是否单位自行组织采购：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4、是否采购环境标识产品：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5、是否采购节能产品：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6、项目的采购标的是否包含进口产品：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7、采购标的是否属于政府购买服务：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8、是否属于政务信息系统项目：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9、是否属于高校、科研院所的科研仪器设备采购：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10、是否属于PPP项目： </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 xml:space="preserve">11、是否属于一签多年项目： </w:t>
      </w:r>
      <w:r>
        <w:rPr>
          <w:rFonts w:ascii="仿宋_GB2312" w:hAnsi="仿宋_GB2312" w:cs="仿宋_GB2312" w:eastAsia="仿宋_GB2312"/>
        </w:rPr>
        <w:t>否</w:t>
      </w:r>
    </w:p>
    <w:p>
      <w:pPr>
        <w:pStyle w:val="null5"/>
        <w:ind w:firstLine="1275"/>
        <w:outlineLvl w:val="1"/>
      </w:pPr>
      <w:r>
        <w:rPr>
          <w:rFonts w:ascii="仿宋_GB2312" w:hAnsi="仿宋_GB2312" w:cs="仿宋_GB2312" w:eastAsia="仿宋_GB2312"/>
          <w:sz w:val="36"/>
          <w:b/>
        </w:rPr>
        <w:t>四、项目需求及分包情况、采购标的</w:t>
      </w:r>
    </w:p>
    <w:p>
      <w:pPr>
        <w:pStyle w:val="null5"/>
        <w:ind w:firstLine="480"/>
        <w:jc w:val="left"/>
        <w:outlineLvl w:val="2"/>
      </w:pPr>
      <w:r>
        <w:rPr>
          <w:rFonts w:ascii="仿宋_GB2312" w:hAnsi="仿宋_GB2312" w:cs="仿宋_GB2312" w:eastAsia="仿宋_GB2312"/>
          <w:sz w:val="28"/>
          <w:b/>
        </w:rPr>
        <w:t>1、执行政府采购促进中小企业发展的相关政策</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属于专门中小企业采购，预留比例为100%。</w:t>
      </w:r>
    </w:p>
    <w:p>
      <w:pPr>
        <w:pStyle w:val="null5"/>
        <w:ind w:firstLine="480"/>
        <w:jc w:val="left"/>
        <w:outlineLvl w:val="2"/>
      </w:pPr>
      <w:r>
        <w:rPr>
          <w:rFonts w:ascii="仿宋_GB2312" w:hAnsi="仿宋_GB2312" w:cs="仿宋_GB2312" w:eastAsia="仿宋_GB2312"/>
          <w:sz w:val="28"/>
          <w:b/>
        </w:rPr>
        <w:t>2、采购标的</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采购包预算金额（元）: 194,874.77</w:t>
      </w:r>
    </w:p>
    <w:p>
      <w:pPr>
        <w:pStyle w:val="null5"/>
        <w:jc w:val="left"/>
      </w:pPr>
      <w:r>
        <w:rPr>
          <w:rFonts w:ascii="仿宋_GB2312" w:hAnsi="仿宋_GB2312" w:cs="仿宋_GB2312" w:eastAsia="仿宋_GB2312"/>
        </w:rPr>
        <w:t>采购包最高限价（元）: 194,874.77</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5"/>
              <w:jc w:val="left"/>
            </w:pPr>
            <w:r>
              <w:rPr>
                <w:rFonts w:ascii="仿宋_GB2312" w:hAnsi="仿宋_GB2312" w:cs="仿宋_GB2312" w:eastAsia="仿宋_GB2312"/>
              </w:rPr>
              <w:t>序号</w:t>
            </w:r>
          </w:p>
        </w:tc>
        <w:tc>
          <w:tcPr>
            <w:tcW w:type="dxa" w:w="831"/>
          </w:tcPr>
          <w:p>
            <w:pPr>
              <w:pStyle w:val="null5"/>
              <w:jc w:val="left"/>
            </w:pPr>
            <w:r>
              <w:rPr>
                <w:rFonts w:ascii="仿宋_GB2312" w:hAnsi="仿宋_GB2312" w:cs="仿宋_GB2312" w:eastAsia="仿宋_GB2312"/>
              </w:rPr>
              <w:t>标的名称</w:t>
            </w:r>
          </w:p>
        </w:tc>
        <w:tc>
          <w:tcPr>
            <w:tcW w:type="dxa" w:w="831"/>
          </w:tcPr>
          <w:p>
            <w:pPr>
              <w:pStyle w:val="null5"/>
              <w:jc w:val="left"/>
            </w:pPr>
            <w:r>
              <w:rPr>
                <w:rFonts w:ascii="仿宋_GB2312" w:hAnsi="仿宋_GB2312" w:cs="仿宋_GB2312" w:eastAsia="仿宋_GB2312"/>
              </w:rPr>
              <w:t>数量</w:t>
            </w:r>
          </w:p>
        </w:tc>
        <w:tc>
          <w:tcPr>
            <w:tcW w:type="dxa" w:w="831"/>
          </w:tcPr>
          <w:p>
            <w:pPr>
              <w:pStyle w:val="null5"/>
              <w:jc w:val="left"/>
            </w:pPr>
            <w:r>
              <w:rPr>
                <w:rFonts w:ascii="仿宋_GB2312" w:hAnsi="仿宋_GB2312" w:cs="仿宋_GB2312" w:eastAsia="仿宋_GB2312"/>
              </w:rPr>
              <w:t>标的金额 （元）</w:t>
            </w:r>
          </w:p>
        </w:tc>
        <w:tc>
          <w:tcPr>
            <w:tcW w:type="dxa" w:w="831"/>
          </w:tcPr>
          <w:p>
            <w:pPr>
              <w:pStyle w:val="null5"/>
              <w:jc w:val="left"/>
            </w:pPr>
            <w:r>
              <w:rPr>
                <w:rFonts w:ascii="仿宋_GB2312" w:hAnsi="仿宋_GB2312" w:cs="仿宋_GB2312" w:eastAsia="仿宋_GB2312"/>
              </w:rPr>
              <w:t>计量单位</w:t>
            </w:r>
          </w:p>
        </w:tc>
        <w:tc>
          <w:tcPr>
            <w:tcW w:type="dxa" w:w="831"/>
          </w:tcPr>
          <w:p>
            <w:pPr>
              <w:pStyle w:val="null5"/>
              <w:jc w:val="left"/>
            </w:pPr>
            <w:r>
              <w:rPr>
                <w:rFonts w:ascii="仿宋_GB2312" w:hAnsi="仿宋_GB2312" w:cs="仿宋_GB2312" w:eastAsia="仿宋_GB2312"/>
              </w:rPr>
              <w:t>所属行业</w:t>
            </w:r>
          </w:p>
        </w:tc>
        <w:tc>
          <w:tcPr>
            <w:tcW w:type="dxa" w:w="831"/>
          </w:tcPr>
          <w:p>
            <w:pPr>
              <w:pStyle w:val="null5"/>
              <w:jc w:val="left"/>
            </w:pPr>
            <w:r>
              <w:rPr>
                <w:rFonts w:ascii="仿宋_GB2312" w:hAnsi="仿宋_GB2312" w:cs="仿宋_GB2312" w:eastAsia="仿宋_GB2312"/>
              </w:rPr>
              <w:t>是否核心产品</w:t>
            </w:r>
          </w:p>
        </w:tc>
        <w:tc>
          <w:tcPr>
            <w:tcW w:type="dxa" w:w="831"/>
          </w:tcPr>
          <w:p>
            <w:pPr>
              <w:pStyle w:val="null5"/>
              <w:jc w:val="left"/>
            </w:pPr>
            <w:r>
              <w:rPr>
                <w:rFonts w:ascii="仿宋_GB2312" w:hAnsi="仿宋_GB2312" w:cs="仿宋_GB2312" w:eastAsia="仿宋_GB2312"/>
              </w:rPr>
              <w:t>是否允许进口产品</w:t>
            </w:r>
          </w:p>
        </w:tc>
        <w:tc>
          <w:tcPr>
            <w:tcW w:type="dxa" w:w="831"/>
          </w:tcPr>
          <w:p>
            <w:pPr>
              <w:pStyle w:val="null5"/>
              <w:jc w:val="left"/>
            </w:pPr>
            <w:r>
              <w:rPr>
                <w:rFonts w:ascii="仿宋_GB2312" w:hAnsi="仿宋_GB2312" w:cs="仿宋_GB2312" w:eastAsia="仿宋_GB2312"/>
              </w:rPr>
              <w:t>是否属于节能产品</w:t>
            </w:r>
          </w:p>
        </w:tc>
        <w:tc>
          <w:tcPr>
            <w:tcW w:type="dxa" w:w="831"/>
          </w:tcPr>
          <w:p>
            <w:pPr>
              <w:pStyle w:val="null5"/>
              <w:jc w:val="left"/>
            </w:pPr>
            <w:r>
              <w:rPr>
                <w:rFonts w:ascii="仿宋_GB2312" w:hAnsi="仿宋_GB2312" w:cs="仿宋_GB2312" w:eastAsia="仿宋_GB2312"/>
              </w:rPr>
              <w:t>是否属于环境标志产品</w:t>
            </w:r>
          </w:p>
        </w:tc>
      </w:tr>
      <w:tr>
        <w:tc>
          <w:tcPr>
            <w:tcW w:type="dxa" w:w="831"/>
          </w:tcPr>
          <w:p>
            <w:pPr>
              <w:pStyle w:val="null5"/>
              <w:jc w:val="left"/>
            </w:pPr>
            <w:r>
              <w:rPr>
                <w:rFonts w:ascii="仿宋_GB2312" w:hAnsi="仿宋_GB2312" w:cs="仿宋_GB2312" w:eastAsia="仿宋_GB2312"/>
              </w:rPr>
              <w:t>1</w:t>
            </w:r>
          </w:p>
        </w:tc>
        <w:tc>
          <w:tcPr>
            <w:tcW w:type="dxa" w:w="831"/>
          </w:tcPr>
          <w:p>
            <w:pPr>
              <w:pStyle w:val="null5"/>
              <w:jc w:val="left"/>
            </w:pPr>
            <w:r>
              <w:rPr>
                <w:rFonts w:ascii="仿宋_GB2312" w:hAnsi="仿宋_GB2312" w:cs="仿宋_GB2312" w:eastAsia="仿宋_GB2312"/>
              </w:rPr>
              <w:t>山东第一医科大学济南校区南区绿篱屏障建设项目</w:t>
            </w:r>
          </w:p>
        </w:tc>
        <w:tc>
          <w:tcPr>
            <w:tcW w:type="dxa" w:w="831"/>
          </w:tcPr>
          <w:p>
            <w:pPr>
              <w:pStyle w:val="null5"/>
              <w:jc w:val="right"/>
            </w:pPr>
            <w:r>
              <w:rPr>
                <w:rFonts w:ascii="仿宋_GB2312" w:hAnsi="仿宋_GB2312" w:cs="仿宋_GB2312" w:eastAsia="仿宋_GB2312"/>
              </w:rPr>
              <w:t>1.00</w:t>
            </w:r>
          </w:p>
        </w:tc>
        <w:tc>
          <w:tcPr>
            <w:tcW w:type="dxa" w:w="831"/>
          </w:tcPr>
          <w:p>
            <w:pPr>
              <w:pStyle w:val="null5"/>
              <w:jc w:val="right"/>
            </w:pPr>
            <w:r>
              <w:rPr>
                <w:rFonts w:ascii="仿宋_GB2312" w:hAnsi="仿宋_GB2312" w:cs="仿宋_GB2312" w:eastAsia="仿宋_GB2312"/>
              </w:rPr>
              <w:t>194,874.77</w:t>
            </w:r>
          </w:p>
        </w:tc>
        <w:tc>
          <w:tcPr>
            <w:tcW w:type="dxa" w:w="831"/>
          </w:tcPr>
          <w:p>
            <w:pPr>
              <w:pStyle w:val="null5"/>
              <w:jc w:val="left"/>
            </w:pPr>
            <w:r>
              <w:rPr>
                <w:rFonts w:ascii="仿宋_GB2312" w:hAnsi="仿宋_GB2312" w:cs="仿宋_GB2312" w:eastAsia="仿宋_GB2312"/>
              </w:rPr>
              <w:t>项</w:t>
            </w:r>
          </w:p>
        </w:tc>
        <w:tc>
          <w:tcPr>
            <w:tcW w:type="dxa" w:w="831"/>
          </w:tcPr>
          <w:p>
            <w:pPr>
              <w:pStyle w:val="null5"/>
              <w:jc w:val="left"/>
            </w:pPr>
            <w:r>
              <w:rPr>
                <w:rFonts w:ascii="仿宋_GB2312" w:hAnsi="仿宋_GB2312" w:cs="仿宋_GB2312" w:eastAsia="仿宋_GB2312"/>
              </w:rPr>
              <w:t>建筑业</w:t>
            </w:r>
          </w:p>
        </w:tc>
        <w:tc>
          <w:tcPr>
            <w:tcW w:type="dxa" w:w="831"/>
          </w:tcPr>
          <w:p>
            <w:pPr>
              <w:pStyle w:val="null5"/>
              <w:jc w:val="left"/>
            </w:pPr>
            <w:r>
              <w:rPr>
                <w:rFonts w:ascii="仿宋_GB2312" w:hAnsi="仿宋_GB2312" w:cs="仿宋_GB2312" w:eastAsia="仿宋_GB2312"/>
              </w:rPr>
              <w:t>否</w:t>
            </w:r>
          </w:p>
        </w:tc>
        <w:tc>
          <w:tcPr>
            <w:tcW w:type="dxa" w:w="831"/>
          </w:tcPr>
          <w:p>
            <w:pPr>
              <w:pStyle w:val="null5"/>
              <w:jc w:val="left"/>
            </w:pPr>
            <w:r>
              <w:rPr>
                <w:rFonts w:ascii="仿宋_GB2312" w:hAnsi="仿宋_GB2312" w:cs="仿宋_GB2312" w:eastAsia="仿宋_GB2312"/>
              </w:rPr>
              <w:t>否</w:t>
            </w:r>
          </w:p>
        </w:tc>
        <w:tc>
          <w:tcPr>
            <w:tcW w:type="dxa" w:w="831"/>
          </w:tcPr>
          <w:p>
            <w:pPr>
              <w:pStyle w:val="null5"/>
              <w:jc w:val="left"/>
            </w:pPr>
            <w:r>
              <w:rPr>
                <w:rFonts w:ascii="仿宋_GB2312" w:hAnsi="仿宋_GB2312" w:cs="仿宋_GB2312" w:eastAsia="仿宋_GB2312"/>
              </w:rPr>
              <w:t>否</w:t>
            </w:r>
          </w:p>
        </w:tc>
        <w:tc>
          <w:tcPr>
            <w:tcW w:type="dxa" w:w="831"/>
          </w:tcPr>
          <w:p>
            <w:pPr>
              <w:pStyle w:val="null5"/>
              <w:jc w:val="left"/>
            </w:pPr>
            <w:r>
              <w:rPr>
                <w:rFonts w:ascii="仿宋_GB2312" w:hAnsi="仿宋_GB2312" w:cs="仿宋_GB2312" w:eastAsia="仿宋_GB2312"/>
              </w:rPr>
              <w:t>否</w:t>
            </w:r>
          </w:p>
        </w:tc>
      </w:tr>
    </w:tbl>
    <w:p>
      <w:pPr>
        <w:pStyle w:val="null5"/>
        <w:ind w:firstLine="480"/>
        <w:jc w:val="left"/>
        <w:outlineLvl w:val="2"/>
      </w:pPr>
      <w:r>
        <w:rPr>
          <w:rFonts w:ascii="仿宋_GB2312" w:hAnsi="仿宋_GB2312" w:cs="仿宋_GB2312" w:eastAsia="仿宋_GB2312"/>
          <w:sz w:val="28"/>
          <w:b/>
        </w:rPr>
        <w:t>3、评审方法</w:t>
      </w:r>
    </w:p>
    <w:p>
      <w:pPr>
        <w:pStyle w:val="null5"/>
        <w:ind w:firstLine="480"/>
        <w:jc w:val="left"/>
      </w:pPr>
      <w:r>
        <w:rPr>
          <w:rFonts w:ascii="仿宋_GB2312" w:hAnsi="仿宋_GB2312" w:cs="仿宋_GB2312" w:eastAsia="仿宋_GB2312"/>
        </w:rPr>
        <w:t>采购包1：综合评分法</w:t>
      </w:r>
    </w:p>
    <w:p>
      <w:pPr>
        <w:pStyle w:val="null5"/>
        <w:ind w:firstLine="480"/>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1038"/>
        <w:gridCol w:w="2076"/>
        <w:gridCol w:w="3115"/>
        <w:gridCol w:w="2076"/>
      </w:tblGrid>
      <w:tr>
        <w:tc>
          <w:tcPr>
            <w:tcW w:type="dxa" w:w="1038"/>
          </w:tcPr>
          <w:p>
            <w:pPr>
              <w:pStyle w:val="null5"/>
              <w:jc w:val="center"/>
            </w:pPr>
            <w:r>
              <w:rPr>
                <w:rFonts w:ascii="仿宋_GB2312" w:hAnsi="仿宋_GB2312" w:cs="仿宋_GB2312" w:eastAsia="仿宋_GB2312"/>
              </w:rPr>
              <w:t>序号</w:t>
            </w:r>
          </w:p>
        </w:tc>
        <w:tc>
          <w:tcPr>
            <w:tcW w:type="dxa" w:w="2076"/>
          </w:tcPr>
          <w:p>
            <w:pPr>
              <w:pStyle w:val="null5"/>
              <w:jc w:val="center"/>
            </w:pPr>
            <w:r>
              <w:rPr>
                <w:rFonts w:ascii="仿宋_GB2312" w:hAnsi="仿宋_GB2312" w:cs="仿宋_GB2312" w:eastAsia="仿宋_GB2312"/>
              </w:rPr>
              <w:t>采购品目名称</w:t>
            </w:r>
          </w:p>
        </w:tc>
        <w:tc>
          <w:tcPr>
            <w:tcW w:type="dxa" w:w="3115"/>
          </w:tcPr>
          <w:p>
            <w:pPr>
              <w:pStyle w:val="null5"/>
              <w:jc w:val="center"/>
            </w:pPr>
            <w:r>
              <w:rPr>
                <w:rFonts w:ascii="仿宋_GB2312" w:hAnsi="仿宋_GB2312" w:cs="仿宋_GB2312" w:eastAsia="仿宋_GB2312"/>
              </w:rPr>
              <w:t>标的名称</w:t>
            </w:r>
          </w:p>
        </w:tc>
        <w:tc>
          <w:tcPr>
            <w:tcW w:type="dxa" w:w="2076"/>
          </w:tcPr>
          <w:p>
            <w:pPr>
              <w:pStyle w:val="null5"/>
              <w:jc w:val="center"/>
            </w:pPr>
            <w:r>
              <w:rPr>
                <w:rFonts w:ascii="仿宋_GB2312" w:hAnsi="仿宋_GB2312" w:cs="仿宋_GB2312" w:eastAsia="仿宋_GB2312"/>
              </w:rPr>
              <w:t>产品名称</w:t>
            </w:r>
          </w:p>
        </w:tc>
      </w:tr>
      <w:tr>
        <w:tc>
          <w:tcPr>
            <w:tcW w:type="dxa" w:w="8305"/>
            <w:gridSpan w:val="4"/>
          </w:tcPr>
          <w:p>
            <w:pPr>
              <w:pStyle w:val="null5"/>
              <w:jc w:val="center"/>
            </w:pPr>
            <w:r>
              <w:rPr>
                <w:rFonts w:ascii="仿宋_GB2312" w:hAnsi="仿宋_GB2312" w:cs="仿宋_GB2312" w:eastAsia="仿宋_GB2312"/>
              </w:rPr>
              <w:t>不涉及</w:t>
            </w:r>
          </w:p>
        </w:tc>
      </w:tr>
    </w:tbl>
    <w:p>
      <w:pPr>
        <w:pStyle w:val="null5"/>
        <w:ind w:firstLine="480"/>
        <w:jc w:val="left"/>
        <w:outlineLvl w:val="2"/>
      </w:pPr>
      <w:r>
        <w:rPr>
          <w:rFonts w:ascii="仿宋_GB2312" w:hAnsi="仿宋_GB2312" w:cs="仿宋_GB2312" w:eastAsia="仿宋_GB2312"/>
          <w:sz w:val="28"/>
          <w:b/>
        </w:rPr>
        <w:t>4、联合体投标</w:t>
      </w:r>
    </w:p>
    <w:p>
      <w:pPr>
        <w:pStyle w:val="null5"/>
        <w:ind w:firstLine="480"/>
        <w:jc w:val="left"/>
      </w:pPr>
      <w:r>
        <w:rPr>
          <w:rFonts w:ascii="仿宋_GB2312" w:hAnsi="仿宋_GB2312" w:cs="仿宋_GB2312" w:eastAsia="仿宋_GB2312"/>
        </w:rPr>
        <w:t>采购包1：不接受</w:t>
      </w:r>
    </w:p>
    <w:p>
      <w:pPr>
        <w:pStyle w:val="null5"/>
        <w:ind w:firstLine="480"/>
        <w:jc w:val="left"/>
        <w:outlineLvl w:val="2"/>
      </w:pPr>
      <w:r>
        <w:rPr>
          <w:rFonts w:ascii="仿宋_GB2312" w:hAnsi="仿宋_GB2312" w:cs="仿宋_GB2312" w:eastAsia="仿宋_GB2312"/>
          <w:sz w:val="28"/>
          <w:b/>
        </w:rPr>
        <w:t>5、合同分包选项</w:t>
      </w:r>
    </w:p>
    <w:p>
      <w:pPr>
        <w:pStyle w:val="null5"/>
        <w:ind w:firstLine="480"/>
        <w:jc w:val="left"/>
      </w:pPr>
      <w:r>
        <w:rPr>
          <w:rFonts w:ascii="仿宋_GB2312" w:hAnsi="仿宋_GB2312" w:cs="仿宋_GB2312" w:eastAsia="仿宋_GB2312"/>
        </w:rPr>
        <w:t>采购包1：不允许分包；</w:t>
      </w:r>
    </w:p>
    <w:p>
      <w:pPr>
        <w:pStyle w:val="null5"/>
        <w:ind w:firstLine="480"/>
        <w:jc w:val="left"/>
        <w:outlineLvl w:val="2"/>
      </w:pPr>
      <w:r>
        <w:rPr>
          <w:rFonts w:ascii="仿宋_GB2312" w:hAnsi="仿宋_GB2312" w:cs="仿宋_GB2312" w:eastAsia="仿宋_GB2312"/>
          <w:sz w:val="28"/>
          <w:b/>
        </w:rPr>
        <w:t>6、拟采购标的的技术要求</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标的名称：山东第一医科大学济南校区南区绿篱屏障建设项目</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5"/>
              <w:jc w:val="left"/>
            </w:pPr>
            <w:r>
              <w:rPr>
                <w:rFonts w:ascii="仿宋_GB2312" w:hAnsi="仿宋_GB2312" w:cs="仿宋_GB2312" w:eastAsia="仿宋_GB2312"/>
              </w:rPr>
              <w:t xml:space="preserve"> 序号</w:t>
            </w:r>
          </w:p>
        </w:tc>
        <w:tc>
          <w:tcPr>
            <w:tcW w:type="dxa" w:w="2076"/>
          </w:tcPr>
          <w:p>
            <w:pPr>
              <w:pStyle w:val="null5"/>
              <w:jc w:val="left"/>
            </w:pPr>
            <w:r>
              <w:rPr>
                <w:rFonts w:ascii="仿宋_GB2312" w:hAnsi="仿宋_GB2312" w:cs="仿宋_GB2312" w:eastAsia="仿宋_GB2312"/>
              </w:rPr>
              <w:t xml:space="preserve"> 参数性质</w:t>
            </w:r>
          </w:p>
        </w:tc>
        <w:tc>
          <w:tcPr>
            <w:tcW w:type="dxa" w:w="2076"/>
          </w:tcPr>
          <w:p>
            <w:pPr>
              <w:pStyle w:val="null5"/>
              <w:jc w:val="left"/>
            </w:pPr>
            <w:r>
              <w:rPr>
                <w:rFonts w:ascii="仿宋_GB2312" w:hAnsi="仿宋_GB2312" w:cs="仿宋_GB2312" w:eastAsia="仿宋_GB2312"/>
              </w:rPr>
              <w:t>技术要求名称</w:t>
            </w:r>
          </w:p>
        </w:tc>
        <w:tc>
          <w:tcPr>
            <w:tcW w:type="dxa" w:w="2076"/>
          </w:tcPr>
          <w:p>
            <w:pPr>
              <w:pStyle w:val="null5"/>
              <w:jc w:val="left"/>
            </w:pPr>
            <w:r>
              <w:rPr>
                <w:rFonts w:ascii="仿宋_GB2312" w:hAnsi="仿宋_GB2312" w:cs="仿宋_GB2312" w:eastAsia="仿宋_GB2312"/>
              </w:rPr>
              <w:t xml:space="preserve"> 技术参数与性能指标</w:t>
            </w:r>
          </w:p>
        </w:tc>
      </w:tr>
      <w:tr>
        <w:tc>
          <w:tcPr>
            <w:tcW w:type="dxa" w:w="2076"/>
          </w:tcPr>
          <w:p>
            <w:pPr>
              <w:pStyle w:val="null5"/>
              <w:jc w:val="left"/>
            </w:pPr>
            <w:r>
              <w:rPr>
                <w:rFonts w:ascii="仿宋_GB2312" w:hAnsi="仿宋_GB2312" w:cs="仿宋_GB2312" w:eastAsia="仿宋_GB2312"/>
              </w:rPr>
              <w:t>1</w:t>
            </w:r>
          </w:p>
        </w:tc>
        <w:tc>
          <w:tcPr>
            <w:tcW w:type="dxa" w:w="2076"/>
          </w:tcPr>
          <w:p/>
        </w:tc>
        <w:tc>
          <w:tcPr>
            <w:tcW w:type="dxa" w:w="2076"/>
          </w:tcPr>
          <w:p>
            <w:pPr>
              <w:pStyle w:val="null5"/>
              <w:jc w:val="left"/>
            </w:pPr>
            <w:r>
              <w:rPr>
                <w:rFonts w:ascii="仿宋_GB2312" w:hAnsi="仿宋_GB2312" w:cs="仿宋_GB2312" w:eastAsia="仿宋_GB2312"/>
              </w:rPr>
              <w:t>工程概况</w:t>
            </w:r>
          </w:p>
        </w:tc>
        <w:tc>
          <w:tcPr>
            <w:tcW w:type="dxa" w:w="2076"/>
          </w:tcPr>
          <w:p>
            <w:pPr>
              <w:pStyle w:val="null5"/>
              <w:ind w:left="105" w:right="120" w:firstLine="9"/>
              <w:jc w:val="left"/>
            </w:pPr>
            <w:r>
              <w:rPr>
                <w:rFonts w:ascii="仿宋_GB2312" w:hAnsi="仿宋_GB2312" w:cs="仿宋_GB2312" w:eastAsia="仿宋_GB2312"/>
                <w:sz w:val="21"/>
                <w:color w:val="000000"/>
              </w:rPr>
              <w:t>1.项目名称：</w:t>
            </w:r>
            <w:r>
              <w:rPr>
                <w:rFonts w:ascii="仿宋_GB2312" w:hAnsi="仿宋_GB2312" w:cs="仿宋_GB2312" w:eastAsia="仿宋_GB2312"/>
                <w:sz w:val="21"/>
                <w:color w:val="000000"/>
              </w:rPr>
              <w:t>山东第一医科大学济南校区南区绿篱屏障建设项目</w:t>
            </w:r>
            <w:r>
              <w:rPr>
                <w:rFonts w:ascii="仿宋_GB2312" w:hAnsi="仿宋_GB2312" w:cs="仿宋_GB2312" w:eastAsia="仿宋_GB2312"/>
                <w:sz w:val="21"/>
                <w:color w:val="000000"/>
              </w:rPr>
              <w:t>。</w:t>
            </w:r>
          </w:p>
          <w:p>
            <w:pPr>
              <w:pStyle w:val="null5"/>
              <w:ind w:left="105" w:right="120" w:firstLine="9"/>
              <w:jc w:val="left"/>
            </w:pPr>
            <w:r>
              <w:rPr>
                <w:rFonts w:ascii="仿宋_GB2312" w:hAnsi="仿宋_GB2312" w:cs="仿宋_GB2312" w:eastAsia="仿宋_GB2312"/>
                <w:sz w:val="21"/>
                <w:color w:val="000000"/>
              </w:rPr>
              <w:t>2.工程地点：山东省济南市山东第一医科大学（山东省医学科学院）</w:t>
            </w:r>
            <w:r>
              <w:rPr>
                <w:rFonts w:ascii="仿宋_GB2312" w:hAnsi="仿宋_GB2312" w:cs="仿宋_GB2312" w:eastAsia="仿宋_GB2312"/>
                <w:sz w:val="21"/>
                <w:color w:val="000000"/>
              </w:rPr>
              <w:t>济南</w:t>
            </w:r>
            <w:r>
              <w:rPr>
                <w:rFonts w:ascii="仿宋_GB2312" w:hAnsi="仿宋_GB2312" w:cs="仿宋_GB2312" w:eastAsia="仿宋_GB2312"/>
                <w:sz w:val="21"/>
                <w:color w:val="000000"/>
              </w:rPr>
              <w:t>校区科创中心南侧马路人行道边</w:t>
            </w:r>
            <w:r>
              <w:rPr>
                <w:rFonts w:ascii="仿宋_GB2312" w:hAnsi="仿宋_GB2312" w:cs="仿宋_GB2312" w:eastAsia="仿宋_GB2312"/>
                <w:sz w:val="21"/>
                <w:color w:val="000000"/>
              </w:rPr>
              <w:t>(东西向)及科创中心东侧空地的南侧和东侧。</w:t>
            </w:r>
          </w:p>
          <w:p>
            <w:pPr>
              <w:pStyle w:val="null5"/>
              <w:ind w:left="105" w:right="120" w:firstLine="7"/>
              <w:jc w:val="left"/>
            </w:pPr>
            <w:r>
              <w:rPr>
                <w:rFonts w:ascii="仿宋_GB2312" w:hAnsi="仿宋_GB2312" w:cs="仿宋_GB2312" w:eastAsia="仿宋_GB2312"/>
                <w:sz w:val="21"/>
                <w:color w:val="000000"/>
              </w:rPr>
              <w:t>3.采购范围：本项目工程量清单及图纸范围内的施工、验收及保修等全部</w:t>
            </w:r>
            <w:r>
              <w:rPr>
                <w:rFonts w:ascii="仿宋_GB2312" w:hAnsi="仿宋_GB2312" w:cs="仿宋_GB2312" w:eastAsia="仿宋_GB2312"/>
                <w:sz w:val="21"/>
                <w:color w:val="000000"/>
              </w:rPr>
              <w:t>工作内容。</w:t>
            </w:r>
          </w:p>
          <w:p>
            <w:pPr>
              <w:pStyle w:val="null5"/>
              <w:ind w:left="105" w:right="195" w:firstLine="4"/>
              <w:jc w:val="left"/>
            </w:pPr>
            <w:r>
              <w:rPr>
                <w:rFonts w:ascii="仿宋_GB2312" w:hAnsi="仿宋_GB2312" w:cs="仿宋_GB2312" w:eastAsia="仿宋_GB2312"/>
                <w:sz w:val="21"/>
                <w:color w:val="000000"/>
              </w:rPr>
              <w:t>4.质保期：达到国家相关技术规范要求的验收标准，</w:t>
            </w:r>
            <w:r>
              <w:rPr>
                <w:rFonts w:ascii="仿宋_GB2312" w:hAnsi="仿宋_GB2312" w:cs="仿宋_GB2312" w:eastAsia="仿宋_GB2312"/>
                <w:sz w:val="21"/>
                <w:color w:val="000000"/>
              </w:rPr>
              <w:t>养护期</w:t>
            </w:r>
            <w:r>
              <w:rPr>
                <w:rFonts w:ascii="仿宋_GB2312" w:hAnsi="仿宋_GB2312" w:cs="仿宋_GB2312" w:eastAsia="仿宋_GB2312"/>
                <w:sz w:val="21"/>
                <w:color w:val="000000"/>
              </w:rPr>
              <w:t>2年</w:t>
            </w:r>
            <w:r>
              <w:rPr>
                <w:rFonts w:ascii="仿宋_GB2312" w:hAnsi="仿宋_GB2312" w:cs="仿宋_GB2312" w:eastAsia="仿宋_GB2312"/>
                <w:sz w:val="21"/>
                <w:color w:val="000000"/>
              </w:rPr>
              <w:t>。</w:t>
            </w:r>
          </w:p>
          <w:p>
            <w:pPr>
              <w:pStyle w:val="null5"/>
              <w:jc w:val="left"/>
            </w:pPr>
            <w:r>
              <w:rPr>
                <w:rFonts w:ascii="仿宋_GB2312" w:hAnsi="仿宋_GB2312" w:cs="仿宋_GB2312" w:eastAsia="仿宋_GB2312"/>
                <w:sz w:val="21"/>
                <w:color w:val="000000"/>
              </w:rPr>
              <w:t>5.质量标准：合格。</w:t>
            </w:r>
          </w:p>
        </w:tc>
      </w:tr>
      <w:tr>
        <w:tc>
          <w:tcPr>
            <w:tcW w:type="dxa" w:w="2076"/>
          </w:tcPr>
          <w:p>
            <w:pPr>
              <w:pStyle w:val="null5"/>
              <w:jc w:val="left"/>
            </w:pPr>
            <w:r>
              <w:rPr>
                <w:rFonts w:ascii="仿宋_GB2312" w:hAnsi="仿宋_GB2312" w:cs="仿宋_GB2312" w:eastAsia="仿宋_GB2312"/>
              </w:rPr>
              <w:t>2</w:t>
            </w:r>
          </w:p>
        </w:tc>
        <w:tc>
          <w:tcPr>
            <w:tcW w:type="dxa" w:w="2076"/>
          </w:tcPr>
          <w:p>
            <w:pPr>
              <w:pStyle w:val="null5"/>
              <w:jc w:val="left"/>
            </w:pPr>
            <w:r>
              <w:rPr>
                <w:rFonts w:ascii="仿宋_GB2312" w:hAnsi="仿宋_GB2312" w:cs="仿宋_GB2312" w:eastAsia="仿宋_GB2312"/>
              </w:rPr>
              <w:t>★</w:t>
            </w:r>
          </w:p>
        </w:tc>
        <w:tc>
          <w:tcPr>
            <w:tcW w:type="dxa" w:w="2076"/>
          </w:tcPr>
          <w:p>
            <w:pPr>
              <w:pStyle w:val="null5"/>
              <w:jc w:val="left"/>
            </w:pPr>
            <w:r>
              <w:rPr>
                <w:rFonts w:ascii="仿宋_GB2312" w:hAnsi="仿宋_GB2312" w:cs="仿宋_GB2312" w:eastAsia="仿宋_GB2312"/>
              </w:rPr>
              <w:t>项目要求</w:t>
            </w:r>
          </w:p>
        </w:tc>
        <w:tc>
          <w:tcPr>
            <w:tcW w:type="dxa" w:w="2076"/>
          </w:tcPr>
          <w:p>
            <w:pPr>
              <w:pStyle w:val="null5"/>
              <w:ind w:left="105" w:right="105" w:firstLine="4"/>
              <w:jc w:val="left"/>
            </w:pPr>
            <w:r>
              <w:rPr>
                <w:rFonts w:ascii="仿宋_GB2312" w:hAnsi="仿宋_GB2312" w:cs="仿宋_GB2312" w:eastAsia="仿宋_GB2312"/>
                <w:sz w:val="21"/>
                <w:color w:val="000000"/>
              </w:rPr>
              <w:t>1.</w:t>
            </w:r>
            <w:r>
              <w:rPr>
                <w:rFonts w:ascii="仿宋_GB2312" w:hAnsi="仿宋_GB2312" w:cs="仿宋_GB2312" w:eastAsia="仿宋_GB2312"/>
                <w:sz w:val="21"/>
                <w:color w:val="000000"/>
              </w:rPr>
              <w:t>绿篱区域：科创中心南侧马路人行道边（东西向）、科创东侧空地的南侧和东侧，沿人行道边，种植绿篱带：宽度</w:t>
            </w:r>
            <w:r>
              <w:rPr>
                <w:rFonts w:ascii="仿宋_GB2312" w:hAnsi="仿宋_GB2312" w:cs="仿宋_GB2312" w:eastAsia="仿宋_GB2312"/>
                <w:sz w:val="21"/>
                <w:color w:val="000000"/>
              </w:rPr>
              <w:t>2米（外侧：红叶石楠1米宽+内侧：冬青卫矛1米宽），长度约540米。</w:t>
            </w:r>
          </w:p>
          <w:p>
            <w:pPr>
              <w:pStyle w:val="null5"/>
              <w:ind w:left="105" w:right="105" w:firstLine="4"/>
              <w:jc w:val="left"/>
            </w:pPr>
            <w:r>
              <w:rPr>
                <w:rFonts w:ascii="仿宋_GB2312" w:hAnsi="仿宋_GB2312" w:cs="仿宋_GB2312" w:eastAsia="仿宋_GB2312"/>
                <w:sz w:val="21"/>
                <w:color w:val="000000"/>
              </w:rPr>
              <w:t>2.具体项目内容：</w:t>
            </w:r>
          </w:p>
          <w:p>
            <w:pPr>
              <w:pStyle w:val="null5"/>
              <w:ind w:left="105" w:right="105" w:firstLine="4"/>
              <w:jc w:val="left"/>
            </w:pPr>
            <w:r>
              <w:rPr>
                <w:rFonts w:ascii="仿宋_GB2312" w:hAnsi="仿宋_GB2312" w:cs="仿宋_GB2312" w:eastAsia="仿宋_GB2312"/>
                <w:sz w:val="21"/>
                <w:color w:val="000000"/>
              </w:rPr>
              <w:t>（</w:t>
            </w:r>
            <w:r>
              <w:rPr>
                <w:rFonts w:ascii="仿宋_GB2312" w:hAnsi="仿宋_GB2312" w:cs="仿宋_GB2312" w:eastAsia="仿宋_GB2312"/>
                <w:sz w:val="21"/>
                <w:color w:val="000000"/>
              </w:rPr>
              <w:t>1）整理绿化用地和回填土方</w:t>
            </w:r>
          </w:p>
          <w:p>
            <w:pPr>
              <w:pStyle w:val="null5"/>
              <w:ind w:left="105" w:right="105" w:firstLine="4"/>
              <w:jc w:val="left"/>
            </w:pPr>
            <w:r>
              <w:rPr>
                <w:rFonts w:ascii="仿宋_GB2312" w:hAnsi="仿宋_GB2312" w:cs="仿宋_GB2312" w:eastAsia="仿宋_GB2312"/>
                <w:sz w:val="21"/>
                <w:color w:val="000000"/>
              </w:rPr>
              <w:t>1）回填土质要求:满足种植需求（外购土），符合种植用土标准；</w:t>
            </w:r>
          </w:p>
          <w:p>
            <w:pPr>
              <w:pStyle w:val="null5"/>
              <w:ind w:left="105" w:right="105" w:firstLine="4"/>
              <w:jc w:val="left"/>
            </w:pPr>
            <w:r>
              <w:rPr>
                <w:rFonts w:ascii="仿宋_GB2312" w:hAnsi="仿宋_GB2312" w:cs="仿宋_GB2312" w:eastAsia="仿宋_GB2312"/>
                <w:sz w:val="21"/>
                <w:color w:val="000000"/>
              </w:rPr>
              <w:t>2）取土运距:综合考虑；</w:t>
            </w:r>
          </w:p>
          <w:p>
            <w:pPr>
              <w:pStyle w:val="null5"/>
              <w:ind w:left="105" w:right="105" w:firstLine="4"/>
              <w:jc w:val="left"/>
            </w:pPr>
            <w:r>
              <w:rPr>
                <w:rFonts w:ascii="仿宋_GB2312" w:hAnsi="仿宋_GB2312" w:cs="仿宋_GB2312" w:eastAsia="仿宋_GB2312"/>
                <w:sz w:val="21"/>
                <w:color w:val="000000"/>
              </w:rPr>
              <w:t>3）回填厚度:结合实际，综合考虑,按照不低于600厚种植土层；</w:t>
            </w:r>
          </w:p>
          <w:p>
            <w:pPr>
              <w:pStyle w:val="null5"/>
              <w:ind w:left="105" w:right="105" w:firstLine="4"/>
              <w:jc w:val="left"/>
            </w:pPr>
            <w:r>
              <w:rPr>
                <w:rFonts w:ascii="仿宋_GB2312" w:hAnsi="仿宋_GB2312" w:cs="仿宋_GB2312" w:eastAsia="仿宋_GB2312"/>
                <w:sz w:val="21"/>
                <w:color w:val="000000"/>
              </w:rPr>
              <w:t>4）找平找坡要求:与人行道高度基本持平，满足设计及种植要求；</w:t>
            </w:r>
          </w:p>
          <w:p>
            <w:pPr>
              <w:pStyle w:val="null5"/>
              <w:ind w:left="105" w:right="105" w:firstLine="4"/>
              <w:jc w:val="left"/>
            </w:pPr>
            <w:r>
              <w:rPr>
                <w:rFonts w:ascii="仿宋_GB2312" w:hAnsi="仿宋_GB2312" w:cs="仿宋_GB2312" w:eastAsia="仿宋_GB2312"/>
                <w:sz w:val="21"/>
                <w:color w:val="000000"/>
              </w:rPr>
              <w:t>5）土方量:结合实际地形测量，估算500方。</w:t>
            </w:r>
          </w:p>
          <w:p>
            <w:pPr>
              <w:pStyle w:val="null5"/>
              <w:ind w:left="105" w:right="105" w:firstLine="4"/>
              <w:jc w:val="left"/>
            </w:pPr>
            <w:r>
              <w:rPr>
                <w:rFonts w:ascii="仿宋_GB2312" w:hAnsi="仿宋_GB2312" w:cs="仿宋_GB2312" w:eastAsia="仿宋_GB2312"/>
                <w:sz w:val="21"/>
                <w:color w:val="000000"/>
              </w:rPr>
              <w:t>6）弃渣外运:综合考虑。</w:t>
            </w:r>
          </w:p>
          <w:p>
            <w:pPr>
              <w:pStyle w:val="null5"/>
              <w:ind w:left="105" w:right="105" w:firstLine="4"/>
              <w:jc w:val="left"/>
            </w:pPr>
            <w:r>
              <w:rPr>
                <w:rFonts w:ascii="仿宋_GB2312" w:hAnsi="仿宋_GB2312" w:cs="仿宋_GB2312" w:eastAsia="仿宋_GB2312"/>
                <w:sz w:val="21"/>
                <w:color w:val="000000"/>
              </w:rPr>
              <w:t>（</w:t>
            </w:r>
            <w:r>
              <w:rPr>
                <w:rFonts w:ascii="仿宋_GB2312" w:hAnsi="仿宋_GB2312" w:cs="仿宋_GB2312" w:eastAsia="仿宋_GB2312"/>
                <w:sz w:val="21"/>
                <w:color w:val="000000"/>
              </w:rPr>
              <w:t>2）绿篱：</w:t>
            </w:r>
          </w:p>
          <w:p>
            <w:pPr>
              <w:pStyle w:val="null5"/>
              <w:ind w:left="105" w:right="105" w:firstLine="4"/>
              <w:jc w:val="left"/>
            </w:pPr>
            <w:r>
              <w:rPr>
                <w:rFonts w:ascii="仿宋_GB2312" w:hAnsi="仿宋_GB2312" w:cs="仿宋_GB2312" w:eastAsia="仿宋_GB2312"/>
                <w:sz w:val="21"/>
                <w:color w:val="000000"/>
              </w:rPr>
              <w:t>1）</w:t>
            </w:r>
            <w:r>
              <w:rPr>
                <w:rFonts w:ascii="仿宋_GB2312" w:hAnsi="仿宋_GB2312" w:cs="仿宋_GB2312" w:eastAsia="仿宋_GB2312"/>
                <w:sz w:val="21"/>
                <w:color w:val="000000"/>
              </w:rPr>
              <w:t>红叶石楠</w:t>
            </w:r>
          </w:p>
          <w:p>
            <w:pPr>
              <w:pStyle w:val="null5"/>
              <w:ind w:left="105" w:right="105" w:firstLine="4"/>
              <w:jc w:val="left"/>
            </w:pPr>
            <w:r>
              <w:rPr>
                <w:rFonts w:ascii="仿宋_GB2312" w:hAnsi="仿宋_GB2312" w:cs="仿宋_GB2312" w:eastAsia="仿宋_GB2312"/>
                <w:sz w:val="21"/>
                <w:color w:val="000000"/>
              </w:rPr>
              <w:t>①</w:t>
            </w:r>
            <w:r>
              <w:rPr>
                <w:rFonts w:ascii="仿宋_GB2312" w:hAnsi="仿宋_GB2312" w:cs="仿宋_GB2312" w:eastAsia="仿宋_GB2312"/>
                <w:sz w:val="21"/>
                <w:color w:val="000000"/>
              </w:rPr>
              <w:t>株高或蓬径</w:t>
            </w:r>
            <w:r>
              <w:rPr>
                <w:rFonts w:ascii="仿宋_GB2312" w:hAnsi="仿宋_GB2312" w:cs="仿宋_GB2312" w:eastAsia="仿宋_GB2312"/>
                <w:sz w:val="21"/>
                <w:color w:val="000000"/>
              </w:rPr>
              <w:t>:高度≧0.4m、冠幅0.2-0.25m</w:t>
            </w:r>
            <w:r>
              <w:rPr>
                <w:rFonts w:ascii="仿宋_GB2312" w:hAnsi="仿宋_GB2312" w:cs="仿宋_GB2312" w:eastAsia="仿宋_GB2312"/>
                <w:sz w:val="21"/>
                <w:color w:val="000000"/>
              </w:rPr>
              <w:t>；</w:t>
            </w:r>
          </w:p>
          <w:p>
            <w:pPr>
              <w:pStyle w:val="null5"/>
              <w:ind w:left="105" w:right="105" w:firstLine="4"/>
              <w:jc w:val="left"/>
            </w:pPr>
            <w:r>
              <w:rPr>
                <w:rFonts w:ascii="仿宋_GB2312" w:hAnsi="仿宋_GB2312" w:cs="仿宋_GB2312" w:eastAsia="仿宋_GB2312"/>
                <w:sz w:val="21"/>
                <w:color w:val="000000"/>
              </w:rPr>
              <w:t>②</w:t>
            </w:r>
            <w:r>
              <w:rPr>
                <w:rFonts w:ascii="仿宋_GB2312" w:hAnsi="仿宋_GB2312" w:cs="仿宋_GB2312" w:eastAsia="仿宋_GB2312"/>
                <w:sz w:val="21"/>
                <w:color w:val="000000"/>
              </w:rPr>
              <w:t>单位面积株数</w:t>
            </w:r>
            <w:r>
              <w:rPr>
                <w:rFonts w:ascii="仿宋_GB2312" w:hAnsi="仿宋_GB2312" w:cs="仿宋_GB2312" w:eastAsia="仿宋_GB2312"/>
                <w:sz w:val="21"/>
                <w:color w:val="000000"/>
              </w:rPr>
              <w:t>:50-60株/m²</w:t>
            </w:r>
            <w:r>
              <w:rPr>
                <w:rFonts w:ascii="仿宋_GB2312" w:hAnsi="仿宋_GB2312" w:cs="仿宋_GB2312" w:eastAsia="仿宋_GB2312"/>
                <w:sz w:val="21"/>
                <w:color w:val="000000"/>
              </w:rPr>
              <w:t>；</w:t>
            </w:r>
          </w:p>
          <w:p>
            <w:pPr>
              <w:pStyle w:val="null5"/>
              <w:ind w:left="105" w:right="105" w:firstLine="4"/>
              <w:jc w:val="left"/>
            </w:pPr>
            <w:r>
              <w:rPr>
                <w:rFonts w:ascii="仿宋_GB2312" w:hAnsi="仿宋_GB2312" w:cs="仿宋_GB2312" w:eastAsia="仿宋_GB2312"/>
                <w:sz w:val="21"/>
                <w:color w:val="000000"/>
              </w:rPr>
              <w:t>③种植面积约540</w:t>
            </w:r>
            <w:r>
              <w:rPr>
                <w:rFonts w:ascii="仿宋_GB2312" w:hAnsi="仿宋_GB2312" w:cs="仿宋_GB2312" w:eastAsia="仿宋_GB2312"/>
                <w:sz w:val="21"/>
                <w:color w:val="000000"/>
              </w:rPr>
              <w:t>m²</w:t>
            </w:r>
            <w:r>
              <w:rPr>
                <w:rFonts w:ascii="仿宋_GB2312" w:hAnsi="仿宋_GB2312" w:cs="仿宋_GB2312" w:eastAsia="仿宋_GB2312"/>
                <w:sz w:val="21"/>
                <w:color w:val="000000"/>
              </w:rPr>
              <w:t>（约计数，以实际测量为准）。</w:t>
            </w:r>
          </w:p>
          <w:p>
            <w:pPr>
              <w:pStyle w:val="null5"/>
              <w:ind w:left="105" w:right="105" w:firstLine="4"/>
              <w:jc w:val="left"/>
            </w:pPr>
            <w:r>
              <w:rPr>
                <w:rFonts w:ascii="仿宋_GB2312" w:hAnsi="仿宋_GB2312" w:cs="仿宋_GB2312" w:eastAsia="仿宋_GB2312"/>
                <w:sz w:val="21"/>
                <w:color w:val="000000"/>
              </w:rPr>
              <w:t>2）</w:t>
            </w:r>
            <w:r>
              <w:rPr>
                <w:rFonts w:ascii="仿宋_GB2312" w:hAnsi="仿宋_GB2312" w:cs="仿宋_GB2312" w:eastAsia="仿宋_GB2312"/>
                <w:sz w:val="21"/>
                <w:color w:val="000000"/>
              </w:rPr>
              <w:t>冬青卫矛篱</w:t>
            </w:r>
          </w:p>
          <w:p>
            <w:pPr>
              <w:pStyle w:val="null5"/>
              <w:ind w:left="105" w:right="105" w:firstLine="4"/>
              <w:jc w:val="left"/>
            </w:pPr>
            <w:r>
              <w:rPr>
                <w:rFonts w:ascii="仿宋_GB2312" w:hAnsi="仿宋_GB2312" w:cs="仿宋_GB2312" w:eastAsia="仿宋_GB2312"/>
                <w:sz w:val="21"/>
                <w:color w:val="000000"/>
              </w:rPr>
              <w:t>①</w:t>
            </w:r>
            <w:r>
              <w:rPr>
                <w:rFonts w:ascii="仿宋_GB2312" w:hAnsi="仿宋_GB2312" w:cs="仿宋_GB2312" w:eastAsia="仿宋_GB2312"/>
                <w:sz w:val="21"/>
                <w:color w:val="000000"/>
              </w:rPr>
              <w:t>株高或蓬径</w:t>
            </w:r>
            <w:r>
              <w:rPr>
                <w:rFonts w:ascii="仿宋_GB2312" w:hAnsi="仿宋_GB2312" w:cs="仿宋_GB2312" w:eastAsia="仿宋_GB2312"/>
                <w:sz w:val="21"/>
                <w:color w:val="000000"/>
              </w:rPr>
              <w:t>:高度≧0.5m、冠幅0.3-0.4m</w:t>
            </w:r>
            <w:r>
              <w:rPr>
                <w:rFonts w:ascii="仿宋_GB2312" w:hAnsi="仿宋_GB2312" w:cs="仿宋_GB2312" w:eastAsia="仿宋_GB2312"/>
                <w:sz w:val="21"/>
                <w:color w:val="000000"/>
              </w:rPr>
              <w:t>；</w:t>
            </w:r>
          </w:p>
          <w:p>
            <w:pPr>
              <w:pStyle w:val="null5"/>
              <w:ind w:left="105" w:right="105" w:firstLine="4"/>
              <w:jc w:val="left"/>
            </w:pPr>
            <w:r>
              <w:rPr>
                <w:rFonts w:ascii="仿宋_GB2312" w:hAnsi="仿宋_GB2312" w:cs="仿宋_GB2312" w:eastAsia="仿宋_GB2312"/>
                <w:sz w:val="21"/>
                <w:color w:val="000000"/>
              </w:rPr>
              <w:t>②</w:t>
            </w:r>
            <w:r>
              <w:rPr>
                <w:rFonts w:ascii="仿宋_GB2312" w:hAnsi="仿宋_GB2312" w:cs="仿宋_GB2312" w:eastAsia="仿宋_GB2312"/>
                <w:sz w:val="21"/>
                <w:color w:val="000000"/>
              </w:rPr>
              <w:t>单位面积株数</w:t>
            </w:r>
            <w:r>
              <w:rPr>
                <w:rFonts w:ascii="仿宋_GB2312" w:hAnsi="仿宋_GB2312" w:cs="仿宋_GB2312" w:eastAsia="仿宋_GB2312"/>
                <w:sz w:val="21"/>
                <w:color w:val="000000"/>
              </w:rPr>
              <w:t>:50-60株/m²</w:t>
            </w:r>
            <w:r>
              <w:rPr>
                <w:rFonts w:ascii="仿宋_GB2312" w:hAnsi="仿宋_GB2312" w:cs="仿宋_GB2312" w:eastAsia="仿宋_GB2312"/>
                <w:sz w:val="21"/>
                <w:color w:val="000000"/>
              </w:rPr>
              <w:t>；</w:t>
            </w:r>
          </w:p>
          <w:p>
            <w:pPr>
              <w:pStyle w:val="null5"/>
              <w:ind w:left="105" w:right="105" w:firstLine="4"/>
              <w:jc w:val="left"/>
            </w:pPr>
            <w:r>
              <w:rPr>
                <w:rFonts w:ascii="仿宋_GB2312" w:hAnsi="仿宋_GB2312" w:cs="仿宋_GB2312" w:eastAsia="仿宋_GB2312"/>
                <w:sz w:val="21"/>
                <w:color w:val="000000"/>
              </w:rPr>
              <w:t>③种植面积约540</w:t>
            </w:r>
            <w:r>
              <w:rPr>
                <w:rFonts w:ascii="仿宋_GB2312" w:hAnsi="仿宋_GB2312" w:cs="仿宋_GB2312" w:eastAsia="仿宋_GB2312"/>
                <w:sz w:val="21"/>
                <w:color w:val="000000"/>
              </w:rPr>
              <w:t>m²</w:t>
            </w:r>
            <w:r>
              <w:rPr>
                <w:rFonts w:ascii="仿宋_GB2312" w:hAnsi="仿宋_GB2312" w:cs="仿宋_GB2312" w:eastAsia="仿宋_GB2312"/>
                <w:sz w:val="21"/>
                <w:color w:val="000000"/>
              </w:rPr>
              <w:t>（约计数，以实际测量为准）。</w:t>
            </w:r>
          </w:p>
          <w:p>
            <w:pPr>
              <w:pStyle w:val="null5"/>
              <w:ind w:left="105" w:right="105" w:firstLine="4"/>
              <w:jc w:val="left"/>
            </w:pPr>
            <w:r>
              <w:rPr>
                <w:rFonts w:ascii="仿宋_GB2312" w:hAnsi="仿宋_GB2312" w:cs="仿宋_GB2312" w:eastAsia="仿宋_GB2312"/>
                <w:sz w:val="21"/>
                <w:color w:val="000000"/>
              </w:rPr>
              <w:t>3）月季（种植花箱中）</w:t>
            </w:r>
          </w:p>
          <w:p>
            <w:pPr>
              <w:pStyle w:val="null5"/>
              <w:ind w:left="105" w:right="105" w:firstLine="4"/>
              <w:jc w:val="left"/>
            </w:pPr>
            <w:r>
              <w:rPr>
                <w:rFonts w:ascii="仿宋_GB2312" w:hAnsi="仿宋_GB2312" w:cs="仿宋_GB2312" w:eastAsia="仿宋_GB2312"/>
                <w:sz w:val="21"/>
                <w:color w:val="000000"/>
              </w:rPr>
              <w:t>①株高或蓬径:高度≧0.5m、冠幅0.3-0.35m；</w:t>
            </w:r>
          </w:p>
          <w:p>
            <w:pPr>
              <w:pStyle w:val="null5"/>
              <w:ind w:left="105" w:right="105" w:firstLine="4"/>
              <w:jc w:val="left"/>
            </w:pPr>
            <w:r>
              <w:rPr>
                <w:rFonts w:ascii="仿宋_GB2312" w:hAnsi="仿宋_GB2312" w:cs="仿宋_GB2312" w:eastAsia="仿宋_GB2312"/>
                <w:sz w:val="21"/>
                <w:color w:val="000000"/>
              </w:rPr>
              <w:t>②单位面积株数:≧40株/㎡;</w:t>
            </w:r>
          </w:p>
          <w:p>
            <w:pPr>
              <w:pStyle w:val="null5"/>
              <w:ind w:left="105" w:right="105" w:firstLine="4"/>
              <w:jc w:val="left"/>
            </w:pPr>
            <w:r>
              <w:rPr>
                <w:rFonts w:ascii="仿宋_GB2312" w:hAnsi="仿宋_GB2312" w:cs="仿宋_GB2312" w:eastAsia="仿宋_GB2312"/>
                <w:sz w:val="21"/>
                <w:color w:val="000000"/>
              </w:rPr>
              <w:t>③种植面积14.4平</w:t>
            </w:r>
          </w:p>
          <w:p>
            <w:pPr>
              <w:pStyle w:val="null5"/>
              <w:ind w:left="105" w:right="105" w:firstLine="4"/>
              <w:jc w:val="left"/>
            </w:pPr>
            <w:r>
              <w:rPr>
                <w:rFonts w:ascii="仿宋_GB2312" w:hAnsi="仿宋_GB2312" w:cs="仿宋_GB2312" w:eastAsia="仿宋_GB2312"/>
                <w:sz w:val="21"/>
                <w:color w:val="000000"/>
              </w:rPr>
              <w:t>4）九里香</w:t>
            </w:r>
          </w:p>
          <w:p>
            <w:pPr>
              <w:pStyle w:val="null5"/>
              <w:ind w:left="105" w:right="105" w:firstLine="4"/>
              <w:jc w:val="left"/>
            </w:pPr>
            <w:r>
              <w:rPr>
                <w:rFonts w:ascii="仿宋_GB2312" w:hAnsi="仿宋_GB2312" w:cs="仿宋_GB2312" w:eastAsia="仿宋_GB2312"/>
                <w:sz w:val="21"/>
                <w:color w:val="000000"/>
              </w:rPr>
              <w:t>①</w:t>
            </w:r>
            <w:r>
              <w:rPr>
                <w:rFonts w:ascii="仿宋_GB2312" w:hAnsi="仿宋_GB2312" w:cs="仿宋_GB2312" w:eastAsia="仿宋_GB2312"/>
                <w:sz w:val="21"/>
                <w:color w:val="000000"/>
              </w:rPr>
              <w:t>株高或蓬径</w:t>
            </w:r>
            <w:r>
              <w:rPr>
                <w:rFonts w:ascii="仿宋_GB2312" w:hAnsi="仿宋_GB2312" w:cs="仿宋_GB2312" w:eastAsia="仿宋_GB2312"/>
                <w:sz w:val="21"/>
                <w:color w:val="000000"/>
              </w:rPr>
              <w:t>:高度≧1.2m、冠幅≧0.8m；</w:t>
            </w:r>
          </w:p>
          <w:p>
            <w:pPr>
              <w:pStyle w:val="null5"/>
              <w:ind w:left="105" w:right="105" w:firstLine="4"/>
              <w:jc w:val="left"/>
            </w:pPr>
            <w:r>
              <w:rPr>
                <w:rFonts w:ascii="仿宋_GB2312" w:hAnsi="仿宋_GB2312" w:cs="仿宋_GB2312" w:eastAsia="仿宋_GB2312"/>
                <w:sz w:val="21"/>
                <w:color w:val="000000"/>
              </w:rPr>
              <w:t>②</w:t>
            </w:r>
            <w:r>
              <w:rPr>
                <w:rFonts w:ascii="仿宋_GB2312" w:hAnsi="仿宋_GB2312" w:cs="仿宋_GB2312" w:eastAsia="仿宋_GB2312"/>
                <w:sz w:val="21"/>
                <w:color w:val="000000"/>
              </w:rPr>
              <w:t>株数</w:t>
            </w:r>
            <w:r>
              <w:rPr>
                <w:rFonts w:ascii="仿宋_GB2312" w:hAnsi="仿宋_GB2312" w:cs="仿宋_GB2312" w:eastAsia="仿宋_GB2312"/>
                <w:sz w:val="21"/>
                <w:color w:val="000000"/>
              </w:rPr>
              <w:t>:4株。</w:t>
            </w:r>
          </w:p>
          <w:p>
            <w:pPr>
              <w:pStyle w:val="null5"/>
              <w:ind w:left="105" w:right="105" w:firstLine="4"/>
              <w:jc w:val="left"/>
            </w:pPr>
            <w:r>
              <w:rPr>
                <w:rFonts w:ascii="仿宋_GB2312" w:hAnsi="仿宋_GB2312" w:cs="仿宋_GB2312" w:eastAsia="仿宋_GB2312"/>
                <w:sz w:val="21"/>
                <w:color w:val="000000"/>
              </w:rPr>
              <w:t>5）花箱</w:t>
            </w:r>
          </w:p>
          <w:p>
            <w:pPr>
              <w:pStyle w:val="null5"/>
              <w:ind w:left="105" w:right="105" w:firstLine="4"/>
              <w:jc w:val="left"/>
            </w:pPr>
            <w:r>
              <w:rPr>
                <w:rFonts w:ascii="仿宋_GB2312" w:hAnsi="仿宋_GB2312" w:cs="仿宋_GB2312" w:eastAsia="仿宋_GB2312"/>
                <w:sz w:val="21"/>
                <w:color w:val="000000"/>
              </w:rPr>
              <w:t>①</w:t>
            </w:r>
            <w:r>
              <w:rPr>
                <w:rFonts w:ascii="仿宋_GB2312" w:hAnsi="仿宋_GB2312" w:cs="仿宋_GB2312" w:eastAsia="仿宋_GB2312"/>
                <w:sz w:val="21"/>
                <w:color w:val="000000"/>
              </w:rPr>
              <w:t>箱体材料品种</w:t>
            </w:r>
            <w:r>
              <w:rPr>
                <w:rFonts w:ascii="仿宋_GB2312" w:hAnsi="仿宋_GB2312" w:cs="仿宋_GB2312" w:eastAsia="仿宋_GB2312"/>
                <w:sz w:val="21"/>
                <w:color w:val="000000"/>
              </w:rPr>
              <w:t>:防腐木花箱；</w:t>
            </w:r>
          </w:p>
          <w:p>
            <w:pPr>
              <w:pStyle w:val="null5"/>
              <w:ind w:left="105" w:right="105" w:firstLine="4"/>
              <w:jc w:val="left"/>
            </w:pPr>
            <w:r>
              <w:rPr>
                <w:rFonts w:ascii="仿宋_GB2312" w:hAnsi="仿宋_GB2312" w:cs="仿宋_GB2312" w:eastAsia="仿宋_GB2312"/>
                <w:sz w:val="21"/>
                <w:color w:val="000000"/>
              </w:rPr>
              <w:t>②</w:t>
            </w:r>
            <w:r>
              <w:rPr>
                <w:rFonts w:ascii="仿宋_GB2312" w:hAnsi="仿宋_GB2312" w:cs="仿宋_GB2312" w:eastAsia="仿宋_GB2312"/>
                <w:sz w:val="21"/>
                <w:color w:val="000000"/>
              </w:rPr>
              <w:t>箱体外形尺寸</w:t>
            </w:r>
            <w:r>
              <w:rPr>
                <w:rFonts w:ascii="仿宋_GB2312" w:hAnsi="仿宋_GB2312" w:cs="仿宋_GB2312" w:eastAsia="仿宋_GB2312"/>
                <w:sz w:val="21"/>
                <w:color w:val="000000"/>
              </w:rPr>
              <w:t>:1.5m长*0.8m宽*0.7m高；</w:t>
            </w:r>
          </w:p>
          <w:p>
            <w:pPr>
              <w:pStyle w:val="null5"/>
              <w:ind w:left="105" w:right="105" w:firstLine="4"/>
              <w:jc w:val="left"/>
            </w:pPr>
            <w:r>
              <w:rPr>
                <w:rFonts w:ascii="仿宋_GB2312" w:hAnsi="仿宋_GB2312" w:cs="仿宋_GB2312" w:eastAsia="仿宋_GB2312"/>
                <w:sz w:val="21"/>
                <w:color w:val="000000"/>
              </w:rPr>
              <w:t>③</w:t>
            </w:r>
            <w:r>
              <w:rPr>
                <w:rFonts w:ascii="仿宋_GB2312" w:hAnsi="仿宋_GB2312" w:cs="仿宋_GB2312" w:eastAsia="仿宋_GB2312"/>
                <w:sz w:val="21"/>
                <w:color w:val="000000"/>
              </w:rPr>
              <w:t>数量</w:t>
            </w:r>
            <w:r>
              <w:rPr>
                <w:rFonts w:ascii="仿宋_GB2312" w:hAnsi="仿宋_GB2312" w:cs="仿宋_GB2312" w:eastAsia="仿宋_GB2312"/>
                <w:sz w:val="21"/>
                <w:color w:val="000000"/>
              </w:rPr>
              <w:t>12个；</w:t>
            </w:r>
          </w:p>
          <w:p>
            <w:pPr>
              <w:pStyle w:val="null5"/>
              <w:ind w:left="105" w:right="105" w:firstLine="4"/>
              <w:jc w:val="left"/>
            </w:pPr>
            <w:r>
              <w:rPr>
                <w:rFonts w:ascii="仿宋_GB2312" w:hAnsi="仿宋_GB2312" w:cs="仿宋_GB2312" w:eastAsia="仿宋_GB2312"/>
                <w:sz w:val="21"/>
                <w:color w:val="000000"/>
              </w:rPr>
              <w:t>④</w:t>
            </w:r>
            <w:r>
              <w:rPr>
                <w:rFonts w:ascii="仿宋_GB2312" w:hAnsi="仿宋_GB2312" w:cs="仿宋_GB2312" w:eastAsia="仿宋_GB2312"/>
                <w:sz w:val="21"/>
                <w:color w:val="000000"/>
              </w:rPr>
              <w:t>回填种植土。</w:t>
            </w:r>
          </w:p>
          <w:p>
            <w:pPr>
              <w:pStyle w:val="null5"/>
              <w:ind w:left="105" w:right="105" w:firstLine="4"/>
              <w:jc w:val="left"/>
            </w:pPr>
            <w:r>
              <w:rPr>
                <w:rFonts w:ascii="仿宋_GB2312" w:hAnsi="仿宋_GB2312" w:cs="仿宋_GB2312" w:eastAsia="仿宋_GB2312"/>
                <w:sz w:val="21"/>
                <w:color w:val="000000"/>
              </w:rPr>
              <w:t>2.在施工中严格按照国家标准及行业规范，遵从可靠性、安全性、环保性和经济性的原则组织施工，以满足项目需要。</w:t>
            </w:r>
          </w:p>
          <w:p>
            <w:pPr>
              <w:pStyle w:val="null5"/>
              <w:ind w:left="105" w:right="105" w:firstLine="4"/>
              <w:jc w:val="left"/>
            </w:pPr>
            <w:r>
              <w:rPr>
                <w:rFonts w:ascii="仿宋_GB2312" w:hAnsi="仿宋_GB2312" w:cs="仿宋_GB2312" w:eastAsia="仿宋_GB2312"/>
                <w:sz w:val="21"/>
                <w:color w:val="000000"/>
              </w:rPr>
              <w:t>3.该工程须严格按照施工规程施工，每道工序经采购人(监理)验收合格后，方可进行下一道工序施工;隐蔽工程(种植土回填等)须经验收并留存影像资料后方可隐蔽。</w:t>
            </w:r>
          </w:p>
          <w:p>
            <w:pPr>
              <w:pStyle w:val="null5"/>
              <w:ind w:left="105" w:right="105" w:firstLine="4"/>
              <w:jc w:val="left"/>
            </w:pPr>
            <w:r>
              <w:rPr>
                <w:rFonts w:ascii="仿宋_GB2312" w:hAnsi="仿宋_GB2312" w:cs="仿宋_GB2312" w:eastAsia="仿宋_GB2312"/>
                <w:sz w:val="21"/>
                <w:color w:val="000000"/>
              </w:rPr>
              <w:t>4.施工中所用材料、苗木应符合国家颁布的有关标准。苗木应枝干健壮、根系发达、树形优美、无病虫害，乔木为全冠苗，规格不低于工程量清单要求，规则式种植的同一树种规格应统一，并按规定提供苗木检疫、检验等证明;材料须提供质检合格证明，经采购人查验同意后方可使用。如发现使用伪劣产品、以次充好，造成的一切损失均由施工方承担。</w:t>
            </w:r>
          </w:p>
          <w:p>
            <w:pPr>
              <w:pStyle w:val="null5"/>
              <w:ind w:left="105" w:right="105" w:firstLine="4"/>
              <w:jc w:val="left"/>
            </w:pPr>
            <w:r>
              <w:rPr>
                <w:rFonts w:ascii="仿宋_GB2312" w:hAnsi="仿宋_GB2312" w:cs="仿宋_GB2312" w:eastAsia="仿宋_GB2312"/>
                <w:sz w:val="21"/>
                <w:color w:val="000000"/>
              </w:rPr>
              <w:t>5.种植土应满足植物生长要求，树穴按设计及规范开挖并施入腐熟有机肥作基肥</w:t>
            </w:r>
            <w:r>
              <w:rPr>
                <w:rFonts w:ascii="仿宋_GB2312" w:hAnsi="仿宋_GB2312" w:cs="仿宋_GB2312" w:eastAsia="仿宋_GB2312"/>
                <w:sz w:val="21"/>
                <w:color w:val="000000"/>
              </w:rPr>
              <w:t>；</w:t>
            </w:r>
            <w:r>
              <w:rPr>
                <w:rFonts w:ascii="仿宋_GB2312" w:hAnsi="仿宋_GB2312" w:cs="仿宋_GB2312" w:eastAsia="仿宋_GB2312"/>
                <w:sz w:val="21"/>
                <w:color w:val="000000"/>
              </w:rPr>
              <w:t>草坪卷应密铺、拍打踏实并及时浇水，场地满铺不露土</w:t>
            </w:r>
            <w:r>
              <w:rPr>
                <w:rFonts w:ascii="仿宋_GB2312" w:hAnsi="仿宋_GB2312" w:cs="仿宋_GB2312" w:eastAsia="仿宋_GB2312"/>
                <w:sz w:val="21"/>
                <w:color w:val="000000"/>
              </w:rPr>
              <w:t>；</w:t>
            </w:r>
            <w:r>
              <w:rPr>
                <w:rFonts w:ascii="仿宋_GB2312" w:hAnsi="仿宋_GB2312" w:cs="仿宋_GB2312" w:eastAsia="仿宋_GB2312"/>
                <w:sz w:val="21"/>
                <w:color w:val="000000"/>
              </w:rPr>
              <w:t>学院自有苗木的起苗、运输、栽植、支撑和养护保活均由成交供应商负责，确保移植成活。</w:t>
            </w:r>
          </w:p>
          <w:p>
            <w:pPr>
              <w:pStyle w:val="null5"/>
              <w:jc w:val="left"/>
            </w:pPr>
            <w:r>
              <w:rPr>
                <w:rFonts w:ascii="仿宋_GB2312" w:hAnsi="仿宋_GB2312" w:cs="仿宋_GB2312" w:eastAsia="仿宋_GB2312"/>
                <w:sz w:val="21"/>
                <w:color w:val="000000"/>
              </w:rPr>
              <w:t>6.文明施工，及时清理现场，按规定设置警示标志，施工不得影响校园正常教学、生活秩序。</w:t>
            </w:r>
          </w:p>
        </w:tc>
      </w:tr>
      <w:tr>
        <w:tc>
          <w:tcPr>
            <w:tcW w:type="dxa" w:w="2076"/>
          </w:tcPr>
          <w:p>
            <w:pPr>
              <w:pStyle w:val="null5"/>
              <w:jc w:val="left"/>
            </w:pPr>
            <w:r>
              <w:rPr>
                <w:rFonts w:ascii="仿宋_GB2312" w:hAnsi="仿宋_GB2312" w:cs="仿宋_GB2312" w:eastAsia="仿宋_GB2312"/>
              </w:rPr>
              <w:t>3</w:t>
            </w:r>
          </w:p>
        </w:tc>
        <w:tc>
          <w:tcPr>
            <w:tcW w:type="dxa" w:w="2076"/>
          </w:tcPr>
          <w:p>
            <w:pPr>
              <w:pStyle w:val="null5"/>
              <w:jc w:val="left"/>
            </w:pPr>
            <w:r>
              <w:rPr>
                <w:rFonts w:ascii="仿宋_GB2312" w:hAnsi="仿宋_GB2312" w:cs="仿宋_GB2312" w:eastAsia="仿宋_GB2312"/>
              </w:rPr>
              <w:t>★</w:t>
            </w:r>
          </w:p>
        </w:tc>
        <w:tc>
          <w:tcPr>
            <w:tcW w:type="dxa" w:w="2076"/>
          </w:tcPr>
          <w:p>
            <w:pPr>
              <w:pStyle w:val="null5"/>
              <w:jc w:val="left"/>
            </w:pPr>
            <w:r>
              <w:rPr>
                <w:rFonts w:ascii="仿宋_GB2312" w:hAnsi="仿宋_GB2312" w:cs="仿宋_GB2312" w:eastAsia="仿宋_GB2312"/>
              </w:rPr>
              <w:t>清单、 图纸</w:t>
            </w:r>
          </w:p>
        </w:tc>
        <w:tc>
          <w:tcPr>
            <w:tcW w:type="dxa" w:w="2076"/>
          </w:tcPr>
          <w:p>
            <w:pPr>
              <w:pStyle w:val="null5"/>
              <w:jc w:val="left"/>
            </w:pPr>
            <w:r>
              <w:rPr>
                <w:rFonts w:ascii="仿宋_GB2312" w:hAnsi="仿宋_GB2312" w:cs="仿宋_GB2312" w:eastAsia="仿宋_GB2312"/>
                <w:sz w:val="21"/>
                <w:color w:val="000000"/>
              </w:rPr>
              <w:t>详见附件</w:t>
            </w:r>
          </w:p>
        </w:tc>
      </w:tr>
      <w:tr>
        <w:tc>
          <w:tcPr>
            <w:tcW w:type="dxa" w:w="2076"/>
          </w:tcPr>
          <w:p>
            <w:pPr>
              <w:pStyle w:val="null5"/>
              <w:jc w:val="left"/>
            </w:pPr>
            <w:r>
              <w:rPr>
                <w:rFonts w:ascii="仿宋_GB2312" w:hAnsi="仿宋_GB2312" w:cs="仿宋_GB2312" w:eastAsia="仿宋_GB2312"/>
              </w:rPr>
              <w:t>4</w:t>
            </w:r>
          </w:p>
        </w:tc>
        <w:tc>
          <w:tcPr>
            <w:tcW w:type="dxa" w:w="2076"/>
          </w:tcPr>
          <w:p>
            <w:pPr>
              <w:pStyle w:val="null5"/>
              <w:jc w:val="left"/>
            </w:pPr>
            <w:r>
              <w:rPr>
                <w:rFonts w:ascii="仿宋_GB2312" w:hAnsi="仿宋_GB2312" w:cs="仿宋_GB2312" w:eastAsia="仿宋_GB2312"/>
              </w:rPr>
              <w:t>★</w:t>
            </w:r>
          </w:p>
        </w:tc>
        <w:tc>
          <w:tcPr>
            <w:tcW w:type="dxa" w:w="2076"/>
          </w:tcPr>
          <w:p>
            <w:pPr>
              <w:pStyle w:val="null5"/>
              <w:jc w:val="left"/>
            </w:pPr>
            <w:r>
              <w:rPr>
                <w:rFonts w:ascii="仿宋_GB2312" w:hAnsi="仿宋_GB2312" w:cs="仿宋_GB2312" w:eastAsia="仿宋_GB2312"/>
              </w:rPr>
              <w:t>报价范围</w:t>
            </w:r>
          </w:p>
        </w:tc>
        <w:tc>
          <w:tcPr>
            <w:tcW w:type="dxa" w:w="2076"/>
          </w:tcPr>
          <w:p>
            <w:pPr>
              <w:pStyle w:val="null5"/>
              <w:ind w:left="105" w:right="120" w:firstLine="480"/>
              <w:jc w:val="left"/>
            </w:pPr>
            <w:r>
              <w:rPr>
                <w:rFonts w:ascii="仿宋_GB2312" w:hAnsi="仿宋_GB2312" w:cs="仿宋_GB2312" w:eastAsia="仿宋_GB2312"/>
                <w:sz w:val="21"/>
                <w:color w:val="000000"/>
              </w:rPr>
              <w:t>1.本项目采用工程量清单报价，签订固定综合单价合同。</w:t>
            </w:r>
          </w:p>
          <w:p>
            <w:pPr>
              <w:pStyle w:val="null5"/>
              <w:ind w:left="105" w:right="120" w:firstLine="480"/>
              <w:jc w:val="left"/>
            </w:pPr>
            <w:r>
              <w:rPr>
                <w:rFonts w:ascii="仿宋_GB2312" w:hAnsi="仿宋_GB2312" w:cs="仿宋_GB2312" w:eastAsia="仿宋_GB2312"/>
                <w:sz w:val="21"/>
                <w:color w:val="000000"/>
              </w:rPr>
              <w:t>2.供应商应按要求完整填报工程量清单中所有清单项目的综合单价及其合价和（或）总价计价项目的价格，且每个清单项目应只填报一个报价，未按要求填报（漏填或未填）综合单价及其合价和（或）清单项目价格的，相关清单项目报价视为已包含在投标总价中。</w:t>
            </w:r>
          </w:p>
          <w:p>
            <w:pPr>
              <w:pStyle w:val="null5"/>
              <w:ind w:left="105" w:right="120" w:firstLine="480"/>
              <w:jc w:val="left"/>
            </w:pPr>
            <w:r>
              <w:rPr>
                <w:rFonts w:ascii="仿宋_GB2312" w:hAnsi="仿宋_GB2312" w:cs="仿宋_GB2312" w:eastAsia="仿宋_GB2312"/>
                <w:sz w:val="21"/>
                <w:color w:val="000000"/>
              </w:rPr>
              <w:t>3.措施费包括为完成本工程项目施工必须采取的措施所发生的所有费用；</w:t>
            </w:r>
          </w:p>
          <w:p>
            <w:pPr>
              <w:pStyle w:val="null5"/>
              <w:ind w:left="105" w:right="120" w:firstLine="480"/>
              <w:jc w:val="left"/>
            </w:pPr>
            <w:r>
              <w:rPr>
                <w:rFonts w:ascii="仿宋_GB2312" w:hAnsi="仿宋_GB2312" w:cs="仿宋_GB2312" w:eastAsia="仿宋_GB2312"/>
                <w:sz w:val="21"/>
                <w:color w:val="000000"/>
              </w:rPr>
              <w:t>4.垃圾处理费及竣工清理费、保洁及满足为验收移交所必要的材料检测、复试等费用均综合考虑在内，拆除件及垃圾清运至主管部门指定位置，运距综合考虑，需满足政府要求，拆除后的材料甲方需回收的，应运至甲方指定位置；</w:t>
            </w:r>
          </w:p>
          <w:p>
            <w:pPr>
              <w:pStyle w:val="null5"/>
              <w:jc w:val="left"/>
            </w:pPr>
            <w:r>
              <w:rPr>
                <w:rFonts w:ascii="仿宋_GB2312" w:hAnsi="仿宋_GB2312" w:cs="仿宋_GB2312" w:eastAsia="仿宋_GB2312"/>
                <w:sz w:val="21"/>
                <w:color w:val="000000"/>
              </w:rPr>
              <w:t>5.供应商应自行考察现场情况，因施工造成的原有不需改造界面破损、污染，自行承担；施工过程中，原已施工完成无需改造的部分，因施工工序需要拆除重新安装的，费用在报价中综合考虑，因施工和拆除过程中损坏的，应按原状恢复，不增加因施工工序需要拆除重新安装的费用；</w:t>
            </w:r>
          </w:p>
        </w:tc>
      </w:tr>
      <w:tr>
        <w:tc>
          <w:tcPr>
            <w:tcW w:type="dxa" w:w="2076"/>
          </w:tcPr>
          <w:p>
            <w:pPr>
              <w:pStyle w:val="null5"/>
              <w:jc w:val="left"/>
            </w:pPr>
            <w:r>
              <w:rPr>
                <w:rFonts w:ascii="仿宋_GB2312" w:hAnsi="仿宋_GB2312" w:cs="仿宋_GB2312" w:eastAsia="仿宋_GB2312"/>
              </w:rPr>
              <w:t>5</w:t>
            </w:r>
          </w:p>
        </w:tc>
        <w:tc>
          <w:tcPr>
            <w:tcW w:type="dxa" w:w="2076"/>
          </w:tcPr>
          <w:p>
            <w:pPr>
              <w:pStyle w:val="null5"/>
              <w:jc w:val="left"/>
            </w:pPr>
            <w:r>
              <w:rPr>
                <w:rFonts w:ascii="仿宋_GB2312" w:hAnsi="仿宋_GB2312" w:cs="仿宋_GB2312" w:eastAsia="仿宋_GB2312"/>
              </w:rPr>
              <w:t>★</w:t>
            </w:r>
          </w:p>
        </w:tc>
        <w:tc>
          <w:tcPr>
            <w:tcW w:type="dxa" w:w="2076"/>
          </w:tcPr>
          <w:p>
            <w:pPr>
              <w:pStyle w:val="null5"/>
              <w:jc w:val="left"/>
            </w:pPr>
            <w:r>
              <w:rPr>
                <w:rFonts w:ascii="仿宋_GB2312" w:hAnsi="仿宋_GB2312" w:cs="仿宋_GB2312" w:eastAsia="仿宋_GB2312"/>
              </w:rPr>
              <w:t>其他要求1</w:t>
            </w:r>
          </w:p>
        </w:tc>
        <w:tc>
          <w:tcPr>
            <w:tcW w:type="dxa" w:w="2076"/>
          </w:tcPr>
          <w:p>
            <w:pPr>
              <w:pStyle w:val="null5"/>
              <w:ind w:left="105" w:right="120" w:firstLine="480"/>
              <w:jc w:val="left"/>
            </w:pPr>
            <w:r>
              <w:rPr>
                <w:rFonts w:ascii="仿宋_GB2312" w:hAnsi="仿宋_GB2312" w:cs="仿宋_GB2312" w:eastAsia="仿宋_GB2312"/>
                <w:sz w:val="21"/>
                <w:color w:val="000000"/>
              </w:rPr>
              <w:t>1、材料及苗木价格的变化。暂估项目(建筑垃圾清运、种植土回填)按实际发生计量。其余苗木、材料由承包人采购，应充分考虑施工期间内苗木及物价上涨等一切风险因素，其价格变化均不再调整;苗木、材料质量及供货商能力须满足设计文件、采购文件、响应文件及相关规范标准要求，并经采购人查验同意后方可使用。</w:t>
            </w:r>
          </w:p>
          <w:p>
            <w:pPr>
              <w:pStyle w:val="null5"/>
              <w:ind w:left="105" w:right="120" w:firstLine="480"/>
              <w:jc w:val="left"/>
            </w:pPr>
            <w:r>
              <w:rPr>
                <w:rFonts w:ascii="仿宋_GB2312" w:hAnsi="仿宋_GB2312" w:cs="仿宋_GB2312" w:eastAsia="仿宋_GB2312"/>
                <w:sz w:val="21"/>
                <w:color w:val="000000"/>
              </w:rPr>
              <w:t>2、安全生产、文明施工、环境保护。承包方应充分考虑安全生产、文明施工、环境保护可能带来的费用变化，一经成交，不得再因主管部门要求及参观、检查、视察等进行费用调整。</w:t>
            </w:r>
          </w:p>
          <w:p>
            <w:pPr>
              <w:pStyle w:val="null5"/>
              <w:ind w:left="105" w:right="120" w:firstLine="480"/>
              <w:jc w:val="left"/>
            </w:pPr>
            <w:r>
              <w:rPr>
                <w:rFonts w:ascii="仿宋_GB2312" w:hAnsi="仿宋_GB2312" w:cs="仿宋_GB2312" w:eastAsia="仿宋_GB2312"/>
                <w:sz w:val="21"/>
                <w:color w:val="000000"/>
              </w:rPr>
              <w:t>3、环境因素的影响。承包方应充分考虑校园场地本身及周边教学师生活动、交叉作业等环境影响所发生的费用，不再因此提出费用调整要求。</w:t>
            </w:r>
          </w:p>
          <w:p>
            <w:pPr>
              <w:pStyle w:val="null5"/>
              <w:ind w:left="105" w:right="120" w:firstLine="480"/>
              <w:jc w:val="left"/>
            </w:pPr>
            <w:r>
              <w:rPr>
                <w:rFonts w:ascii="仿宋_GB2312" w:hAnsi="仿宋_GB2312" w:cs="仿宋_GB2312" w:eastAsia="仿宋_GB2312"/>
                <w:sz w:val="21"/>
                <w:color w:val="000000"/>
              </w:rPr>
              <w:t>4、严禁供应商在招投标活动中进行转包、违法分包、围标串标、挂靠出借资质等违法行为，一经发现认定将从速顶格处罚。</w:t>
            </w:r>
          </w:p>
          <w:p>
            <w:pPr>
              <w:pStyle w:val="null5"/>
              <w:ind w:left="105" w:right="120" w:firstLine="480"/>
              <w:jc w:val="left"/>
            </w:pPr>
            <w:r>
              <w:rPr>
                <w:rFonts w:ascii="仿宋_GB2312" w:hAnsi="仿宋_GB2312" w:cs="仿宋_GB2312" w:eastAsia="仿宋_GB2312"/>
                <w:sz w:val="21"/>
                <w:color w:val="000000"/>
              </w:rPr>
              <w:t>5、保证质量、加快进度采取的措施。施工过程中为保证工程质量加快进度而采取措施引起的变更(原设计能满足要求的)，不再进行费用调整。</w:t>
            </w:r>
          </w:p>
          <w:p>
            <w:pPr>
              <w:pStyle w:val="null5"/>
              <w:jc w:val="left"/>
            </w:pPr>
            <w:r>
              <w:rPr>
                <w:rFonts w:ascii="仿宋_GB2312" w:hAnsi="仿宋_GB2312" w:cs="仿宋_GB2312" w:eastAsia="仿宋_GB2312"/>
                <w:sz w:val="21"/>
                <w:color w:val="000000"/>
              </w:rPr>
              <w:t>6、成交供应商在施工中应执行国家、部、企业的规定和标准，满足建筑、公共安全标准、节能、环保、安全等要求，以及国家已发布实行的其他要求及规范。本项目的材料、设备、施工须达到相关工程施工与质量验收规范、施工技术规范及现行中华人民共和国以及省、自治区、直辖市或行业的工程建设标准、规范的要求。施工期间发生的安全责任由成交供应商全部承担，并赔偿相应的损失。</w:t>
            </w:r>
          </w:p>
          <w:p>
            <w:pPr>
              <w:pStyle w:val="null5"/>
              <w:ind w:left="105" w:right="120" w:firstLine="480"/>
              <w:jc w:val="left"/>
            </w:pPr>
            <w:r>
              <w:rPr>
                <w:rFonts w:ascii="仿宋_GB2312" w:hAnsi="仿宋_GB2312" w:cs="仿宋_GB2312" w:eastAsia="仿宋_GB2312"/>
                <w:sz w:val="21"/>
                <w:color w:val="000000"/>
              </w:rPr>
              <w:t>7、遵守政府有关主管部门对施工场地交通、施工噪音、环境保护和安全生产等管理规定。施工在不影响学校正常教学秩序的前提下进行，务必保证施工期间校园内人员的人身安全、不妨碍交通、不污染环境等为基本原则。制定施工方案，提出具体的</w:t>
            </w:r>
            <w:r>
              <w:rPr>
                <w:rFonts w:ascii="仿宋_GB2312" w:hAnsi="仿宋_GB2312" w:cs="仿宋_GB2312" w:eastAsia="仿宋_GB2312"/>
                <w:sz w:val="21"/>
                <w:color w:val="000000"/>
              </w:rPr>
              <w:t>防治</w:t>
            </w:r>
            <w:r>
              <w:rPr>
                <w:rFonts w:ascii="仿宋_GB2312" w:hAnsi="仿宋_GB2312" w:cs="仿宋_GB2312" w:eastAsia="仿宋_GB2312"/>
                <w:sz w:val="21"/>
                <w:color w:val="000000"/>
              </w:rPr>
              <w:t>扬尘，降音降噪等环保措施，明确施工场地具体的环保要求和环保责任人。渣土、废弃物等倾倒场地必须是经有关部门批准的合法渣土倾倒场。</w:t>
            </w:r>
          </w:p>
          <w:p>
            <w:pPr>
              <w:pStyle w:val="null5"/>
              <w:ind w:left="105" w:right="120" w:firstLine="480"/>
              <w:jc w:val="left"/>
            </w:pPr>
            <w:r>
              <w:rPr>
                <w:rFonts w:ascii="仿宋_GB2312" w:hAnsi="仿宋_GB2312" w:cs="仿宋_GB2312" w:eastAsia="仿宋_GB2312"/>
                <w:sz w:val="21"/>
                <w:color w:val="000000"/>
              </w:rPr>
              <w:t>8、若成交公⽰发出后， 成交供应商拒不签订合同，则采购人有权利将其加入不诚信单位名单，由此造成的后果由成交供应商自行承担；若签订合同后，成交供应商无故不进场施工，或中途中断履行合同，则采购人有权利与其解除合同， 由此造成的后果由成交供应商自行承担。</w:t>
            </w:r>
          </w:p>
          <w:p>
            <w:pPr>
              <w:pStyle w:val="null5"/>
              <w:ind w:left="105" w:right="120" w:firstLine="480"/>
              <w:jc w:val="left"/>
            </w:pPr>
            <w:r>
              <w:rPr>
                <w:rFonts w:ascii="仿宋_GB2312" w:hAnsi="仿宋_GB2312" w:cs="仿宋_GB2312" w:eastAsia="仿宋_GB2312"/>
                <w:sz w:val="21"/>
                <w:color w:val="000000"/>
              </w:rPr>
              <w:t>9、工程水电。供应商在报价中应充分考虑施工当地用水用电的实际情况，停水、停电造成的费用增加，结算时不再调整;采购人提供临时水电接驳点，相关费用列入报价，不再调整。</w:t>
            </w:r>
          </w:p>
          <w:p>
            <w:pPr>
              <w:pStyle w:val="null5"/>
              <w:ind w:left="105" w:right="120" w:firstLine="480"/>
              <w:jc w:val="left"/>
            </w:pPr>
            <w:r>
              <w:rPr>
                <w:rFonts w:ascii="仿宋_GB2312" w:hAnsi="仿宋_GB2312" w:cs="仿宋_GB2312" w:eastAsia="仿宋_GB2312"/>
                <w:sz w:val="21"/>
                <w:color w:val="000000"/>
              </w:rPr>
              <w:t>10、本项目对工期要求较高，甚至要求即时施工、夜间施工、交叉施工等情况（其中包含隔音降噪、高温施工防暑降温措施等）。供应商应制定相应的进度计划措施。</w:t>
            </w:r>
          </w:p>
          <w:p>
            <w:pPr>
              <w:pStyle w:val="null5"/>
              <w:ind w:left="105" w:right="120" w:firstLine="480"/>
              <w:jc w:val="left"/>
            </w:pPr>
            <w:r>
              <w:rPr>
                <w:rFonts w:ascii="仿宋_GB2312" w:hAnsi="仿宋_GB2312" w:cs="仿宋_GB2312" w:eastAsia="仿宋_GB2312"/>
                <w:sz w:val="21"/>
                <w:color w:val="000000"/>
              </w:rPr>
              <w:t>11、学校各类维修项目点多面广、施工条件复杂、多单位交叉施工、需与多个管理方和施工方进行沟通等实际情况</w:t>
            </w:r>
          </w:p>
          <w:p>
            <w:pPr>
              <w:pStyle w:val="null5"/>
              <w:ind w:left="105" w:right="120" w:firstLine="480"/>
              <w:jc w:val="left"/>
            </w:pPr>
            <w:r>
              <w:rPr>
                <w:rFonts w:ascii="仿宋_GB2312" w:hAnsi="仿宋_GB2312" w:cs="仿宋_GB2312" w:eastAsia="仿宋_GB2312"/>
                <w:sz w:val="21"/>
                <w:color w:val="000000"/>
              </w:rPr>
              <w:t>12、成交供应商自行协调处理施工现场周边的社会关系，解决施工至竣工移交过程中遇到的各种问题及事项，所发生的一切费用 、责任均由成交供应商自负。</w:t>
            </w:r>
          </w:p>
          <w:p>
            <w:pPr>
              <w:pStyle w:val="null5"/>
              <w:ind w:left="105" w:right="120" w:firstLine="480"/>
              <w:jc w:val="left"/>
            </w:pPr>
            <w:r>
              <w:rPr>
                <w:rFonts w:ascii="仿宋_GB2312" w:hAnsi="仿宋_GB2312" w:cs="仿宋_GB2312" w:eastAsia="仿宋_GB2312"/>
                <w:sz w:val="21"/>
                <w:color w:val="000000"/>
              </w:rPr>
              <w:t>13、成交供应商自行协调市政、执法、验收等部门关系和办理相关手续,保证工程按期完成并通过竣工验收，所发生的一切费用 、责任均由成交供应商自负。</w:t>
            </w:r>
          </w:p>
          <w:p>
            <w:pPr>
              <w:pStyle w:val="null5"/>
              <w:ind w:left="105" w:right="120" w:firstLine="480"/>
              <w:jc w:val="left"/>
            </w:pPr>
            <w:r>
              <w:rPr>
                <w:rFonts w:ascii="仿宋_GB2312" w:hAnsi="仿宋_GB2312" w:cs="仿宋_GB2312" w:eastAsia="仿宋_GB2312"/>
                <w:sz w:val="21"/>
                <w:color w:val="000000"/>
              </w:rPr>
              <w:t>14、供应商须在法定质疑期内一次性提出针对同一采购程序环节的质疑。</w:t>
            </w:r>
          </w:p>
          <w:p>
            <w:pPr>
              <w:pStyle w:val="null5"/>
              <w:ind w:left="105" w:right="120" w:firstLine="480"/>
              <w:jc w:val="left"/>
            </w:pPr>
            <w:r>
              <w:rPr>
                <w:rFonts w:ascii="仿宋_GB2312" w:hAnsi="仿宋_GB2312" w:cs="仿宋_GB2312" w:eastAsia="仿宋_GB2312"/>
                <w:sz w:val="21"/>
                <w:color w:val="000000"/>
              </w:rPr>
              <w:t>15、</w:t>
            </w:r>
            <w:r>
              <w:rPr>
                <w:rFonts w:ascii="仿宋_GB2312" w:hAnsi="仿宋_GB2312" w:cs="仿宋_GB2312" w:eastAsia="仿宋_GB2312"/>
                <w:sz w:val="21"/>
                <w:color w:val="000000"/>
              </w:rPr>
              <w:t>材料运输及二次搬运。不再因苗木、材料的运输及校园场地内的二次搬运、倒运进行费用调整。</w:t>
            </w:r>
          </w:p>
          <w:p>
            <w:pPr>
              <w:pStyle w:val="null5"/>
              <w:ind w:left="105" w:right="120" w:firstLine="480"/>
              <w:jc w:val="left"/>
            </w:pPr>
            <w:r>
              <w:rPr>
                <w:rFonts w:ascii="仿宋_GB2312" w:hAnsi="仿宋_GB2312" w:cs="仿宋_GB2312" w:eastAsia="仿宋_GB2312"/>
                <w:sz w:val="21"/>
                <w:color w:val="000000"/>
              </w:rPr>
              <w:t>16、</w:t>
            </w:r>
            <w:r>
              <w:rPr>
                <w:rFonts w:ascii="仿宋_GB2312" w:hAnsi="仿宋_GB2312" w:cs="仿宋_GB2312" w:eastAsia="仿宋_GB2312"/>
                <w:sz w:val="21"/>
                <w:color w:val="000000"/>
              </w:rPr>
              <w:t>垃圾外运处置。场地杂草、建筑垃圾及施工垃圾的外运、处置费用由供应商报价时综合考虑，结算时不再另行计取。</w:t>
            </w:r>
          </w:p>
          <w:p>
            <w:pPr>
              <w:pStyle w:val="null5"/>
              <w:ind w:left="105" w:right="120" w:firstLine="480"/>
              <w:jc w:val="left"/>
            </w:pPr>
            <w:r>
              <w:rPr>
                <w:rFonts w:ascii="仿宋_GB2312" w:hAnsi="仿宋_GB2312" w:cs="仿宋_GB2312" w:eastAsia="仿宋_GB2312"/>
                <w:sz w:val="21"/>
                <w:color w:val="000000"/>
              </w:rPr>
              <w:t>17、损耗、补植及异形处理。本工程报价应充分考虑苗木栽植损耗、养护期内死亡苗木补植、异形处理及防火等各种因素，相关费用不再调整。</w:t>
            </w:r>
          </w:p>
          <w:p>
            <w:pPr>
              <w:pStyle w:val="null5"/>
              <w:ind w:left="105" w:right="120" w:firstLine="480"/>
              <w:jc w:val="left"/>
            </w:pPr>
            <w:r>
              <w:rPr>
                <w:rFonts w:ascii="仿宋_GB2312" w:hAnsi="仿宋_GB2312" w:cs="仿宋_GB2312" w:eastAsia="仿宋_GB2312"/>
                <w:sz w:val="21"/>
                <w:color w:val="000000"/>
              </w:rPr>
              <w:t>18、突发事件。突发事件所发生的费用由供应商自行考虑，结算时不再调整。供应商编写响应文件时，均应把风险范围内的各种因素影响计入报价，合同执行中不再更改或调整，风险因素由成交单位自行承担。</w:t>
            </w:r>
          </w:p>
          <w:p>
            <w:pPr>
              <w:pStyle w:val="null5"/>
              <w:ind w:left="105" w:right="120" w:firstLine="480"/>
              <w:jc w:val="left"/>
            </w:pPr>
            <w:r>
              <w:rPr>
                <w:rFonts w:ascii="仿宋_GB2312" w:hAnsi="仿宋_GB2312" w:cs="仿宋_GB2312" w:eastAsia="仿宋_GB2312"/>
                <w:sz w:val="21"/>
                <w:color w:val="000000"/>
              </w:rPr>
              <w:t>19、</w:t>
            </w:r>
            <w:r>
              <w:rPr>
                <w:rFonts w:ascii="仿宋_GB2312" w:hAnsi="仿宋_GB2312" w:cs="仿宋_GB2312" w:eastAsia="仿宋_GB2312"/>
                <w:sz w:val="21"/>
                <w:color w:val="000000"/>
              </w:rPr>
              <w:t>除另有约定外，供应商负责完成本项目施工所需的材料、设备的采购、检测验收、运输和保管。但供应商采购的材料、设备需经采购人认可后方可采购，在进场前采购人有权要求供应商对所采购材料、设备送检测机构进行检测或者测试，对于检测不合格的材料、设备，采购人有权拒绝并要求供应商更换合格材料、设备，由此给采购人造成的损失由供应商负责。无论经检测或者测试是否合格，所发生的全部费用皆由供应商承担。主要材料均采用正规厂家合格产品，在环境保护方面，必须使用国家和山东省等有关标准材料，并符合国家相关规范和标准要求。</w:t>
            </w:r>
          </w:p>
          <w:p>
            <w:pPr>
              <w:pStyle w:val="null5"/>
              <w:ind w:left="105" w:right="120" w:firstLine="480"/>
              <w:jc w:val="left"/>
            </w:pPr>
            <w:r>
              <w:rPr>
                <w:rFonts w:ascii="仿宋_GB2312" w:hAnsi="仿宋_GB2312" w:cs="仿宋_GB2312" w:eastAsia="仿宋_GB2312"/>
                <w:sz w:val="21"/>
                <w:color w:val="000000"/>
              </w:rPr>
              <w:t>20、企业项目负责人必须在岗履职，每日巡查安全生产情况，危大工程等关键节点施工时必须到场指挥监督，严格落实项目负责人责任，其他人员保证施工时间全时在位，现场驻守管理人员及专业技术人员须无违法犯罪记录。</w:t>
            </w:r>
          </w:p>
          <w:p>
            <w:pPr>
              <w:pStyle w:val="null5"/>
              <w:ind w:left="105" w:right="120" w:firstLine="480"/>
              <w:jc w:val="left"/>
            </w:pPr>
            <w:r>
              <w:rPr>
                <w:rFonts w:ascii="仿宋_GB2312" w:hAnsi="仿宋_GB2312" w:cs="仿宋_GB2312" w:eastAsia="仿宋_GB2312"/>
                <w:sz w:val="21"/>
                <w:color w:val="000000"/>
              </w:rPr>
              <w:t>21、供应商报价低于成本价且无法提供相关证明材料的，按无效标处理。项目中主要材料(设备)须全部填写8.3.15主要材料(设备)明细表，且材料价格不能明显低于同类同档次产品的市场价格水平。</w:t>
            </w:r>
          </w:p>
          <w:p>
            <w:pPr>
              <w:pStyle w:val="null5"/>
              <w:ind w:left="105" w:right="120" w:firstLine="480"/>
              <w:jc w:val="left"/>
            </w:pPr>
            <w:r>
              <w:rPr>
                <w:rFonts w:ascii="仿宋_GB2312" w:hAnsi="仿宋_GB2312" w:cs="仿宋_GB2312" w:eastAsia="仿宋_GB2312"/>
                <w:sz w:val="21"/>
                <w:color w:val="000000"/>
              </w:rPr>
              <w:t>22、供应商应合理配置项目管理班子和现场专业人员，各岗位人员具备相应管理、技术等能力，确保工作成果质量、工程质量和施工安全，并在施工过程中服从采购人的现场管理。</w:t>
            </w:r>
          </w:p>
          <w:p>
            <w:pPr>
              <w:pStyle w:val="null5"/>
              <w:ind w:left="105" w:right="120" w:firstLine="480"/>
              <w:jc w:val="left"/>
            </w:pPr>
            <w:r>
              <w:rPr>
                <w:rFonts w:ascii="仿宋_GB2312" w:hAnsi="仿宋_GB2312" w:cs="仿宋_GB2312" w:eastAsia="仿宋_GB2312"/>
                <w:sz w:val="21"/>
                <w:color w:val="000000"/>
              </w:rPr>
              <w:t>23</w:t>
            </w:r>
            <w:r>
              <w:rPr>
                <w:rFonts w:ascii="仿宋_GB2312" w:hAnsi="仿宋_GB2312" w:cs="仿宋_GB2312" w:eastAsia="仿宋_GB2312"/>
                <w:sz w:val="21"/>
                <w:color w:val="000000"/>
              </w:rPr>
              <w:t>、本项目施工时应严格执行财政部、住房城乡建设部、工业和信息化部发布的</w:t>
            </w:r>
            <w:r>
              <w:rPr>
                <w:rFonts w:ascii="仿宋_GB2312" w:hAnsi="仿宋_GB2312" w:cs="仿宋_GB2312" w:eastAsia="仿宋_GB2312"/>
                <w:sz w:val="21"/>
                <w:color w:val="000000"/>
              </w:rPr>
              <w:t>&lt;&lt;关于进一步扩大政府采购支持绿色建材促进建筑品质提升政策实施范围的通知&gt;&gt;(财库</w:t>
            </w:r>
            <w:r>
              <w:rPr>
                <w:rFonts w:ascii="仿宋_GB2312" w:hAnsi="仿宋_GB2312" w:cs="仿宋_GB2312" w:eastAsia="仿宋_GB2312"/>
                <w:sz w:val="21"/>
                <w:color w:val="000000"/>
              </w:rPr>
              <w:t>〔</w:t>
            </w:r>
            <w:r>
              <w:rPr>
                <w:rFonts w:ascii="仿宋_GB2312" w:hAnsi="仿宋_GB2312" w:cs="仿宋_GB2312" w:eastAsia="仿宋_GB2312"/>
                <w:sz w:val="21"/>
                <w:color w:val="000000"/>
              </w:rPr>
              <w:t>2024〕36号</w:t>
            </w:r>
            <w:r>
              <w:rPr>
                <w:rFonts w:ascii="仿宋_GB2312" w:hAnsi="仿宋_GB2312" w:cs="仿宋_GB2312" w:eastAsia="仿宋_GB2312"/>
                <w:sz w:val="21"/>
                <w:color w:val="000000"/>
              </w:rPr>
              <w:t>)及制定的&lt;&lt;绿色建筑和绿色建材政府采购需求标准(2025版)&gt;&gt;。成交供应商须按上述文件有关要求施工， 并采购或使用符合要求的绿色建材</w:t>
            </w:r>
            <w:r>
              <w:rPr>
                <w:rFonts w:ascii="仿宋_GB2312" w:hAnsi="仿宋_GB2312" w:cs="仿宋_GB2312" w:eastAsia="仿宋_GB2312"/>
                <w:sz w:val="21"/>
                <w:color w:val="000000"/>
              </w:rPr>
              <w:t>：</w:t>
            </w:r>
            <w:r>
              <w:rPr>
                <w:rFonts w:ascii="仿宋_GB2312" w:hAnsi="仿宋_GB2312" w:cs="仿宋_GB2312" w:eastAsia="仿宋_GB2312"/>
                <w:sz w:val="21"/>
                <w:color w:val="000000"/>
              </w:rPr>
              <w:t>施工阶段，</w:t>
            </w:r>
            <w:r>
              <w:rPr>
                <w:rFonts w:ascii="仿宋_GB2312" w:hAnsi="仿宋_GB2312" w:cs="仿宋_GB2312" w:eastAsia="仿宋_GB2312"/>
                <w:sz w:val="21"/>
                <w:color w:val="000000"/>
              </w:rPr>
              <w:t>要强化施工现场监管</w:t>
            </w:r>
            <w:r>
              <w:rPr>
                <w:rFonts w:ascii="仿宋_GB2312" w:hAnsi="仿宋_GB2312" w:cs="仿宋_GB2312" w:eastAsia="仿宋_GB2312"/>
                <w:sz w:val="21"/>
                <w:color w:val="000000"/>
              </w:rPr>
              <w:t xml:space="preserve">   </w:t>
            </w:r>
            <w:r>
              <w:rPr>
                <w:rFonts w:ascii="仿宋_GB2312" w:hAnsi="仿宋_GB2312" w:cs="仿宋_GB2312" w:eastAsia="仿宋_GB2312"/>
                <w:sz w:val="21"/>
                <w:color w:val="000000"/>
              </w:rPr>
              <w:t>,  确保施工单位落实绿色建筑要求， 使用符合&lt;&lt;需求标准&gt;&gt;的绿色建材。</w:t>
            </w:r>
          </w:p>
          <w:p>
            <w:pPr>
              <w:pStyle w:val="null5"/>
              <w:ind w:left="105" w:right="120" w:firstLine="480"/>
              <w:jc w:val="left"/>
            </w:pPr>
            <w:r>
              <w:rPr>
                <w:rFonts w:ascii="仿宋_GB2312" w:hAnsi="仿宋_GB2312" w:cs="仿宋_GB2312" w:eastAsia="仿宋_GB2312"/>
                <w:sz w:val="21"/>
                <w:color w:val="000000"/>
              </w:rPr>
              <w:t>24</w:t>
            </w:r>
            <w:r>
              <w:rPr>
                <w:rFonts w:ascii="仿宋_GB2312" w:hAnsi="仿宋_GB2312" w:cs="仿宋_GB2312" w:eastAsia="仿宋_GB2312"/>
                <w:sz w:val="21"/>
                <w:color w:val="000000"/>
              </w:rPr>
              <w:t>、根据财政部、发展改革委、生态环境部、市场监管总局《关于调整优化节能产品、环境标志产品政府采购执行机制的通知》（财库〔</w:t>
            </w:r>
            <w:r>
              <w:rPr>
                <w:rFonts w:ascii="仿宋_GB2312" w:hAnsi="仿宋_GB2312" w:cs="仿宋_GB2312" w:eastAsia="仿宋_GB2312"/>
                <w:sz w:val="21"/>
                <w:color w:val="000000"/>
              </w:rPr>
              <w:t>2019  〕9号）、财政部、发展改革委《关于印发节能产品政府采购品目清单的通知》（财库</w:t>
            </w:r>
            <w:r>
              <w:rPr>
                <w:rFonts w:ascii="仿宋_GB2312" w:hAnsi="仿宋_GB2312" w:cs="仿宋_GB2312" w:eastAsia="仿宋_GB2312"/>
                <w:sz w:val="21"/>
                <w:color w:val="000000"/>
              </w:rPr>
              <w:t>〔</w:t>
            </w:r>
            <w:r>
              <w:rPr>
                <w:rFonts w:ascii="仿宋_GB2312" w:hAnsi="仿宋_GB2312" w:cs="仿宋_GB2312" w:eastAsia="仿宋_GB2312"/>
                <w:sz w:val="21"/>
                <w:color w:val="000000"/>
              </w:rPr>
              <w:t>2019〕19号</w:t>
            </w:r>
            <w:r>
              <w:rPr>
                <w:rFonts w:ascii="仿宋_GB2312" w:hAnsi="仿宋_GB2312" w:cs="仿宋_GB2312" w:eastAsia="仿宋_GB2312"/>
                <w:sz w:val="21"/>
                <w:color w:val="000000"/>
              </w:rPr>
              <w:t>）等文件要求：台式计算机，便携式计算机</w:t>
            </w:r>
            <w:r>
              <w:rPr>
                <w:rFonts w:ascii="仿宋_GB2312" w:hAnsi="仿宋_GB2312" w:cs="仿宋_GB2312" w:eastAsia="仿宋_GB2312"/>
                <w:sz w:val="21"/>
                <w:color w:val="000000"/>
              </w:rPr>
              <w:t>,平板式微型计算机，激光打印机，针式打印机，液晶显⽰器，制冷压缩机，空调机组，专用制冷、空调设备，镇流器，空调机，电热水器，普通照明用双端荧光灯， 电视设备，视频设备，便器，水嘴等品目为政府强制</w:t>
            </w:r>
            <w:r>
              <w:rPr>
                <w:rFonts w:ascii="仿宋_GB2312" w:hAnsi="仿宋_GB2312" w:cs="仿宋_GB2312" w:eastAsia="仿宋_GB2312"/>
                <w:sz w:val="21"/>
                <w:color w:val="000000"/>
              </w:rPr>
              <w:t>采购的节能产品；本次采购若涉及最新《节能产品政府采购品目清单》</w:t>
            </w:r>
            <w:r>
              <w:rPr>
                <w:rFonts w:ascii="仿宋_GB2312" w:hAnsi="仿宋_GB2312" w:cs="仿宋_GB2312" w:eastAsia="仿宋_GB2312"/>
                <w:sz w:val="21"/>
                <w:color w:val="000000"/>
              </w:rPr>
              <w:t>内强制采购的节能产品（品目清单中</w:t>
            </w:r>
            <w:r>
              <w:rPr>
                <w:rFonts w:ascii="仿宋_GB2312" w:hAnsi="仿宋_GB2312" w:cs="仿宋_GB2312" w:eastAsia="仿宋_GB2312"/>
                <w:sz w:val="21"/>
                <w:color w:val="000000"/>
              </w:rPr>
              <w:t>“★ ”标注的产品),无论项目说明中是否明确为强制节能产品， 供应商都必须投报强制节能产品并提供有效的认证证书， 否则按无效投标处理。</w:t>
            </w:r>
          </w:p>
          <w:p>
            <w:pPr>
              <w:pStyle w:val="null5"/>
              <w:jc w:val="left"/>
            </w:pPr>
            <w:r>
              <w:rPr>
                <w:rFonts w:ascii="仿宋_GB2312" w:hAnsi="仿宋_GB2312" w:cs="仿宋_GB2312" w:eastAsia="仿宋_GB2312"/>
                <w:sz w:val="21"/>
                <w:color w:val="000000"/>
              </w:rPr>
              <w:t>25</w:t>
            </w:r>
            <w:r>
              <w:rPr>
                <w:rFonts w:ascii="仿宋_GB2312" w:hAnsi="仿宋_GB2312" w:cs="仿宋_GB2312" w:eastAsia="仿宋_GB2312"/>
                <w:sz w:val="21"/>
                <w:color w:val="000000"/>
              </w:rPr>
              <w:t>、政府采购合同融资政策：采购人支持本项目成交、</w:t>
            </w:r>
            <w:r>
              <w:rPr>
                <w:rFonts w:ascii="仿宋_GB2312" w:hAnsi="仿宋_GB2312" w:cs="仿宋_GB2312" w:eastAsia="仿宋_GB2312"/>
                <w:sz w:val="21"/>
                <w:color w:val="000000"/>
              </w:rPr>
              <w:t>中标供应商通过</w:t>
            </w:r>
            <w:r>
              <w:rPr>
                <w:rFonts w:ascii="仿宋_GB2312" w:hAnsi="仿宋_GB2312" w:cs="仿宋_GB2312" w:eastAsia="仿宋_GB2312"/>
                <w:sz w:val="21"/>
                <w:color w:val="000000"/>
              </w:rPr>
              <w:t>“政府采购合同融资服务平台 ”“ 中征应收账款融资服务平台 ”实施政府采购合同融资,供应商可登录中国山东政府采购网融资服务板块了解相关政策。</w:t>
            </w:r>
          </w:p>
        </w:tc>
      </w:tr>
      <w:tr>
        <w:tc>
          <w:tcPr>
            <w:tcW w:type="dxa" w:w="2076"/>
          </w:tcPr>
          <w:p>
            <w:pPr>
              <w:pStyle w:val="null5"/>
              <w:jc w:val="left"/>
            </w:pPr>
            <w:r>
              <w:rPr>
                <w:rFonts w:ascii="仿宋_GB2312" w:hAnsi="仿宋_GB2312" w:cs="仿宋_GB2312" w:eastAsia="仿宋_GB2312"/>
              </w:rPr>
              <w:t>6</w:t>
            </w:r>
          </w:p>
        </w:tc>
        <w:tc>
          <w:tcPr>
            <w:tcW w:type="dxa" w:w="2076"/>
          </w:tcPr>
          <w:p>
            <w:pPr>
              <w:pStyle w:val="null5"/>
              <w:jc w:val="left"/>
            </w:pPr>
            <w:r>
              <w:rPr>
                <w:rFonts w:ascii="仿宋_GB2312" w:hAnsi="仿宋_GB2312" w:cs="仿宋_GB2312" w:eastAsia="仿宋_GB2312"/>
              </w:rPr>
              <w:t>★</w:t>
            </w:r>
          </w:p>
        </w:tc>
        <w:tc>
          <w:tcPr>
            <w:tcW w:type="dxa" w:w="2076"/>
          </w:tcPr>
          <w:p>
            <w:pPr>
              <w:pStyle w:val="null5"/>
              <w:jc w:val="left"/>
            </w:pPr>
            <w:r>
              <w:rPr>
                <w:rFonts w:ascii="仿宋_GB2312" w:hAnsi="仿宋_GB2312" w:cs="仿宋_GB2312" w:eastAsia="仿宋_GB2312"/>
              </w:rPr>
              <w:t>其他要求2</w:t>
            </w:r>
          </w:p>
        </w:tc>
        <w:tc>
          <w:tcPr>
            <w:tcW w:type="dxa" w:w="2076"/>
          </w:tcPr>
          <w:p>
            <w:pPr>
              <w:pStyle w:val="null5"/>
              <w:ind w:left="105" w:right="120" w:firstLine="480"/>
              <w:jc w:val="left"/>
            </w:pPr>
            <w:r>
              <w:rPr>
                <w:rFonts w:ascii="仿宋_GB2312" w:hAnsi="仿宋_GB2312" w:cs="仿宋_GB2312" w:eastAsia="仿宋_GB2312"/>
                <w:sz w:val="21"/>
                <w:color w:val="000000"/>
              </w:rPr>
              <w:t>1.</w:t>
            </w:r>
            <w:r>
              <w:rPr>
                <w:rFonts w:ascii="仿宋_GB2312" w:hAnsi="仿宋_GB2312" w:cs="仿宋_GB2312" w:eastAsia="仿宋_GB2312"/>
                <w:sz w:val="21"/>
                <w:color w:val="000000"/>
              </w:rPr>
              <w:t>已标价工程量清单的扉页</w:t>
            </w:r>
            <w:r>
              <w:rPr>
                <w:rFonts w:ascii="仿宋_GB2312" w:hAnsi="仿宋_GB2312" w:cs="仿宋_GB2312" w:eastAsia="仿宋_GB2312"/>
                <w:sz w:val="21"/>
                <w:color w:val="000000"/>
              </w:rPr>
              <w:t>(仅指报价总价扉页)应由注册造价工程师签字并盖执业印章(盖章的注册造价工程师应是在本单位注册人员，或是供应商委托的造价咨询机构注册造价工程师并附委托合同)。标注的产品）,无论项目说明中是否明确为强制节能产品，供应商都必须投报强制节能产品并提供有效的认证证书，否则按报价无效处理。</w:t>
            </w:r>
          </w:p>
          <w:p>
            <w:pPr>
              <w:pStyle w:val="null5"/>
              <w:ind w:left="105" w:right="120" w:firstLine="480"/>
              <w:jc w:val="left"/>
            </w:pPr>
            <w:r>
              <w:rPr>
                <w:rFonts w:ascii="仿宋_GB2312" w:hAnsi="仿宋_GB2312" w:cs="仿宋_GB2312" w:eastAsia="仿宋_GB2312"/>
                <w:sz w:val="21"/>
                <w:color w:val="000000"/>
              </w:rPr>
              <w:t>2.</w:t>
            </w:r>
            <w:r>
              <w:rPr>
                <w:rFonts w:ascii="仿宋_GB2312" w:hAnsi="仿宋_GB2312" w:cs="仿宋_GB2312" w:eastAsia="仿宋_GB2312"/>
                <w:sz w:val="21"/>
                <w:color w:val="000000"/>
              </w:rPr>
              <w:t>不同供应商的电⼦投标（响应）⽂件存在制作机器码多处（</w:t>
            </w:r>
            <w:r>
              <w:rPr>
                <w:rFonts w:ascii="仿宋_GB2312" w:hAnsi="仿宋_GB2312" w:cs="仿宋_GB2312" w:eastAsia="仿宋_GB2312"/>
                <w:sz w:val="21"/>
                <w:color w:val="000000"/>
              </w:rPr>
              <w:t>3处及以上）相同、创建标识码相同、关键IP地址相同等情形且⽆法作出合理解释的，投标（响应）⽆效。</w:t>
            </w:r>
          </w:p>
          <w:p>
            <w:pPr>
              <w:pStyle w:val="null5"/>
              <w:jc w:val="left"/>
            </w:pPr>
            <w:r>
              <w:rPr>
                <w:rFonts w:ascii="仿宋_GB2312" w:hAnsi="仿宋_GB2312" w:cs="仿宋_GB2312" w:eastAsia="仿宋_GB2312"/>
                <w:sz w:val="21"/>
                <w:color w:val="000000"/>
              </w:rPr>
              <w:t>3.</w:t>
            </w:r>
            <w:r>
              <w:rPr>
                <w:rFonts w:ascii="仿宋_GB2312" w:hAnsi="仿宋_GB2312" w:cs="仿宋_GB2312" w:eastAsia="仿宋_GB2312"/>
                <w:sz w:val="21"/>
                <w:color w:val="000000"/>
              </w:rPr>
              <w:t>供应商报价低于成本价且无法提供相关证明材料的，按无效标处理。项目中主要材料（设备）须全部填写主要材料（设备）明细表，且材料价格不能明显低于同类同档次产品的市场价格水平。</w:t>
            </w:r>
          </w:p>
        </w:tc>
      </w:tr>
    </w:tbl>
    <w:p>
      <w:pPr>
        <w:pStyle w:val="null5"/>
        <w:ind w:firstLine="480"/>
        <w:jc w:val="left"/>
        <w:outlineLvl w:val="2"/>
      </w:pPr>
      <w:r>
        <w:rPr>
          <w:rFonts w:ascii="仿宋_GB2312" w:hAnsi="仿宋_GB2312" w:cs="仿宋_GB2312" w:eastAsia="仿宋_GB2312"/>
          <w:sz w:val="28"/>
          <w:b/>
        </w:rPr>
        <w:t>7、供应商一般资格要求</w:t>
      </w:r>
    </w:p>
    <w:p>
      <w:pPr>
        <w:pStyle w:val="null5"/>
        <w:ind w:firstLine="480"/>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3322"/>
        <w:gridCol w:w="4153"/>
      </w:tblGrid>
      <w:tr>
        <w:tc>
          <w:tcPr>
            <w:tcW w:type="dxa" w:w="831"/>
          </w:tcPr>
          <w:p>
            <w:pPr>
              <w:pStyle w:val="null5"/>
              <w:jc w:val="left"/>
            </w:pPr>
            <w:r>
              <w:rPr>
                <w:rFonts w:ascii="仿宋_GB2312" w:hAnsi="仿宋_GB2312" w:cs="仿宋_GB2312" w:eastAsia="仿宋_GB2312"/>
              </w:rPr>
              <w:t xml:space="preserve"> 序号</w:t>
            </w:r>
          </w:p>
        </w:tc>
        <w:tc>
          <w:tcPr>
            <w:tcW w:type="dxa" w:w="3322"/>
          </w:tcPr>
          <w:p>
            <w:pPr>
              <w:pStyle w:val="null5"/>
              <w:jc w:val="left"/>
            </w:pPr>
            <w:r>
              <w:rPr>
                <w:rFonts w:ascii="仿宋_GB2312" w:hAnsi="仿宋_GB2312" w:cs="仿宋_GB2312" w:eastAsia="仿宋_GB2312"/>
              </w:rPr>
              <w:t xml:space="preserve"> 资格审查要求概况</w:t>
            </w:r>
          </w:p>
        </w:tc>
        <w:tc>
          <w:tcPr>
            <w:tcW w:type="dxa" w:w="4153"/>
          </w:tcPr>
          <w:p>
            <w:pPr>
              <w:pStyle w:val="null5"/>
              <w:jc w:val="left"/>
            </w:pPr>
            <w:r>
              <w:rPr>
                <w:rFonts w:ascii="仿宋_GB2312" w:hAnsi="仿宋_GB2312" w:cs="仿宋_GB2312" w:eastAsia="仿宋_GB2312"/>
              </w:rPr>
              <w:t xml:space="preserve"> 评审点具体描述</w:t>
            </w:r>
          </w:p>
        </w:tc>
      </w:tr>
      <w:tr>
        <w:tc>
          <w:tcPr>
            <w:tcW w:type="dxa" w:w="831"/>
          </w:tcPr>
          <w:p>
            <w:pPr>
              <w:pStyle w:val="null5"/>
              <w:jc w:val="left"/>
            </w:pPr>
            <w:r>
              <w:rPr>
                <w:rFonts w:ascii="仿宋_GB2312" w:hAnsi="仿宋_GB2312" w:cs="仿宋_GB2312" w:eastAsia="仿宋_GB2312"/>
              </w:rPr>
              <w:t>1</w:t>
            </w:r>
          </w:p>
        </w:tc>
        <w:tc>
          <w:tcPr>
            <w:tcW w:type="dxa" w:w="3322"/>
          </w:tcPr>
          <w:p>
            <w:pPr>
              <w:pStyle w:val="null5"/>
              <w:jc w:val="left"/>
            </w:pPr>
            <w:r>
              <w:rPr>
                <w:rFonts w:ascii="仿宋_GB2312" w:hAnsi="仿宋_GB2312" w:cs="仿宋_GB2312" w:eastAsia="仿宋_GB2312"/>
              </w:rPr>
              <w:t>具有独立承担民事责任的能力</w:t>
            </w:r>
          </w:p>
        </w:tc>
        <w:tc>
          <w:tcPr>
            <w:tcW w:type="dxa" w:w="4153"/>
          </w:tcPr>
          <w:p>
            <w:pPr>
              <w:pStyle w:val="null5"/>
              <w:jc w:val="left"/>
            </w:pPr>
            <w:r>
              <w:rPr>
                <w:rFonts w:ascii="仿宋_GB2312" w:hAnsi="仿宋_GB2312" w:cs="仿宋_GB2312" w:eastAsia="仿宋_GB2312"/>
              </w:rPr>
              <w:t>提供具有独立承担民事责任的能力事业单位法人证书或营业执照等证明文件，自然人的身份证明(加盖公章)</w:t>
            </w:r>
          </w:p>
        </w:tc>
      </w:tr>
      <w:tr>
        <w:tc>
          <w:tcPr>
            <w:tcW w:type="dxa" w:w="831"/>
          </w:tcPr>
          <w:p>
            <w:pPr>
              <w:pStyle w:val="null5"/>
              <w:jc w:val="left"/>
            </w:pPr>
            <w:r>
              <w:rPr>
                <w:rFonts w:ascii="仿宋_GB2312" w:hAnsi="仿宋_GB2312" w:cs="仿宋_GB2312" w:eastAsia="仿宋_GB2312"/>
              </w:rPr>
              <w:t>2</w:t>
            </w:r>
          </w:p>
        </w:tc>
        <w:tc>
          <w:tcPr>
            <w:tcW w:type="dxa" w:w="3322"/>
          </w:tcPr>
          <w:p>
            <w:pPr>
              <w:pStyle w:val="null5"/>
              <w:jc w:val="left"/>
            </w:pPr>
            <w:r>
              <w:rPr>
                <w:rFonts w:ascii="仿宋_GB2312" w:hAnsi="仿宋_GB2312" w:cs="仿宋_GB2312" w:eastAsia="仿宋_GB2312"/>
              </w:rPr>
              <w:t>法定代表人身份证明书或法定代表人授权委托书</w:t>
            </w:r>
          </w:p>
        </w:tc>
        <w:tc>
          <w:tcPr>
            <w:tcW w:type="dxa" w:w="4153"/>
          </w:tcPr>
          <w:p>
            <w:pPr>
              <w:pStyle w:val="null5"/>
              <w:jc w:val="left"/>
            </w:pPr>
            <w:r>
              <w:rPr>
                <w:rFonts w:ascii="仿宋_GB2312" w:hAnsi="仿宋_GB2312" w:cs="仿宋_GB2312" w:eastAsia="仿宋_GB2312"/>
              </w:rPr>
              <w:t>如法定代表人投标，需提供法定代表人资格证明书，授权代理人参加投标的，须提供法定代表人授权委托书及授权代理人在本单位缴纳社保证明（响应文件递交截止时间前近3个月的连续证明，加盖本单位公章，新成立企业提供成立以来的)（加盖公章）</w:t>
            </w:r>
          </w:p>
        </w:tc>
      </w:tr>
      <w:tr>
        <w:tc>
          <w:tcPr>
            <w:tcW w:type="dxa" w:w="831"/>
          </w:tcPr>
          <w:p>
            <w:pPr>
              <w:pStyle w:val="null5"/>
              <w:jc w:val="left"/>
            </w:pPr>
            <w:r>
              <w:rPr>
                <w:rFonts w:ascii="仿宋_GB2312" w:hAnsi="仿宋_GB2312" w:cs="仿宋_GB2312" w:eastAsia="仿宋_GB2312"/>
              </w:rPr>
              <w:t>3</w:t>
            </w:r>
          </w:p>
        </w:tc>
        <w:tc>
          <w:tcPr>
            <w:tcW w:type="dxa" w:w="3322"/>
          </w:tcPr>
          <w:p>
            <w:pPr>
              <w:pStyle w:val="null5"/>
              <w:jc w:val="left"/>
            </w:pPr>
            <w:r>
              <w:rPr>
                <w:rFonts w:ascii="仿宋_GB2312" w:hAnsi="仿宋_GB2312" w:cs="仿宋_GB2312" w:eastAsia="仿宋_GB2312"/>
              </w:rPr>
              <w:t>经审计的财务报告或资信证明</w:t>
            </w:r>
          </w:p>
        </w:tc>
        <w:tc>
          <w:tcPr>
            <w:tcW w:type="dxa" w:w="4153"/>
          </w:tcPr>
          <w:p>
            <w:pPr>
              <w:pStyle w:val="null5"/>
              <w:jc w:val="left"/>
            </w:pPr>
            <w:r>
              <w:rPr>
                <w:rFonts w:ascii="仿宋_GB2312" w:hAnsi="仿宋_GB2312" w:cs="仿宋_GB2312" w:eastAsia="仿宋_GB2312"/>
              </w:rPr>
              <w:t>具有良好的商业信誉和健全的财务会计制度:供应商2025年度财务报表(至少包括资产负债表、利润表，须体现供应商信息)，或2025年度经审计的审计报告，或其基本开户银行出具的开标前三个月内资信证明(供应商为事业单位法人、小规模纳税人或新成立企业，据实提供即可)（加盖公章）</w:t>
            </w:r>
          </w:p>
        </w:tc>
      </w:tr>
      <w:tr>
        <w:tc>
          <w:tcPr>
            <w:tcW w:type="dxa" w:w="831"/>
          </w:tcPr>
          <w:p>
            <w:pPr>
              <w:pStyle w:val="null5"/>
              <w:jc w:val="left"/>
            </w:pPr>
            <w:r>
              <w:rPr>
                <w:rFonts w:ascii="仿宋_GB2312" w:hAnsi="仿宋_GB2312" w:cs="仿宋_GB2312" w:eastAsia="仿宋_GB2312"/>
              </w:rPr>
              <w:t>4</w:t>
            </w:r>
          </w:p>
        </w:tc>
        <w:tc>
          <w:tcPr>
            <w:tcW w:type="dxa" w:w="3322"/>
          </w:tcPr>
          <w:p>
            <w:pPr>
              <w:pStyle w:val="null5"/>
              <w:jc w:val="left"/>
            </w:pPr>
            <w:r>
              <w:rPr>
                <w:rFonts w:ascii="仿宋_GB2312" w:hAnsi="仿宋_GB2312" w:cs="仿宋_GB2312" w:eastAsia="仿宋_GB2312"/>
              </w:rPr>
              <w:t>供应商须具有履行合同所必需的设备和专业技术能力</w:t>
            </w:r>
          </w:p>
        </w:tc>
        <w:tc>
          <w:tcPr>
            <w:tcW w:type="dxa" w:w="4153"/>
          </w:tcPr>
          <w:p>
            <w:pPr>
              <w:pStyle w:val="null5"/>
              <w:jc w:val="left"/>
            </w:pPr>
            <w:r>
              <w:rPr>
                <w:rFonts w:ascii="仿宋_GB2312" w:hAnsi="仿宋_GB2312" w:cs="仿宋_GB2312" w:eastAsia="仿宋_GB2312"/>
              </w:rPr>
              <w:t>供应商须具有履行合同所必需的设备和专业技术能力 ， 须附承诺函或相关证明材料（加盖公章）</w:t>
            </w:r>
          </w:p>
        </w:tc>
      </w:tr>
      <w:tr>
        <w:tc>
          <w:tcPr>
            <w:tcW w:type="dxa" w:w="831"/>
          </w:tcPr>
          <w:p>
            <w:pPr>
              <w:pStyle w:val="null5"/>
              <w:jc w:val="left"/>
            </w:pPr>
            <w:r>
              <w:rPr>
                <w:rFonts w:ascii="仿宋_GB2312" w:hAnsi="仿宋_GB2312" w:cs="仿宋_GB2312" w:eastAsia="仿宋_GB2312"/>
              </w:rPr>
              <w:t>5</w:t>
            </w:r>
          </w:p>
        </w:tc>
        <w:tc>
          <w:tcPr>
            <w:tcW w:type="dxa" w:w="3322"/>
          </w:tcPr>
          <w:p>
            <w:pPr>
              <w:pStyle w:val="null5"/>
              <w:jc w:val="left"/>
            </w:pPr>
            <w:r>
              <w:rPr>
                <w:rFonts w:ascii="仿宋_GB2312" w:hAnsi="仿宋_GB2312" w:cs="仿宋_GB2312" w:eastAsia="仿宋_GB2312"/>
              </w:rPr>
              <w:t>具有依法缴纳税收和社会保障资金的良好记录</w:t>
            </w:r>
          </w:p>
        </w:tc>
        <w:tc>
          <w:tcPr>
            <w:tcW w:type="dxa" w:w="4153"/>
          </w:tcPr>
          <w:p>
            <w:pPr>
              <w:pStyle w:val="null5"/>
              <w:jc w:val="left"/>
            </w:pPr>
            <w:r>
              <w:rPr>
                <w:rFonts w:ascii="仿宋_GB2312" w:hAnsi="仿宋_GB2312" w:cs="仿宋_GB2312" w:eastAsia="仿宋_GB2312"/>
              </w:rPr>
              <w:t>具有依法缴纳祝收和社会保厚食金的民对记求:1.缴纳税收的证明材料是指供应商参加本次招标活动半年内任意一个月内缴纳税收的凭据。缴纳社会保障资金的证明材料是指参加本次招标活动半年内任意一个月内缴纳社会保险的凭据(专用收据或社会保险缴纳清单)，其他组织和自然人也需要提供缴纳税收的凭据和缴纳社会保险的凭据;2.依法免税或不需要缴纳社会保障资金的供应商，应提供相关证明材料;3.适用于《依法缴纳税收和社会保障资金承诺函》情形的供应商应提前在“中国山东政府采购网”查询本单位缴纳税收和社会保障资金的情况，可提供《依法缴纳税收和社会保障资金承诺函》。具体要求详见《山东省财政厅关于推行政府采购供应商资格信用承诺制的通知》（加盖公章）</w:t>
            </w:r>
          </w:p>
        </w:tc>
      </w:tr>
      <w:tr>
        <w:tc>
          <w:tcPr>
            <w:tcW w:type="dxa" w:w="831"/>
          </w:tcPr>
          <w:p>
            <w:pPr>
              <w:pStyle w:val="null5"/>
              <w:jc w:val="left"/>
            </w:pPr>
            <w:r>
              <w:rPr>
                <w:rFonts w:ascii="仿宋_GB2312" w:hAnsi="仿宋_GB2312" w:cs="仿宋_GB2312" w:eastAsia="仿宋_GB2312"/>
              </w:rPr>
              <w:t>6</w:t>
            </w:r>
          </w:p>
        </w:tc>
        <w:tc>
          <w:tcPr>
            <w:tcW w:type="dxa" w:w="3322"/>
          </w:tcPr>
          <w:p>
            <w:pPr>
              <w:pStyle w:val="null5"/>
              <w:jc w:val="left"/>
            </w:pPr>
            <w:r>
              <w:rPr>
                <w:rFonts w:ascii="仿宋_GB2312" w:hAnsi="仿宋_GB2312" w:cs="仿宋_GB2312" w:eastAsia="仿宋_GB2312"/>
              </w:rPr>
              <w:t>参加政府采购活动前三年内， 在经营活动中没有重大违法记录</w:t>
            </w:r>
          </w:p>
        </w:tc>
        <w:tc>
          <w:tcPr>
            <w:tcW w:type="dxa" w:w="4153"/>
          </w:tcPr>
          <w:p>
            <w:pPr>
              <w:pStyle w:val="null5"/>
              <w:jc w:val="left"/>
            </w:pPr>
            <w:r>
              <w:rPr>
                <w:rFonts w:ascii="仿宋_GB2312" w:hAnsi="仿宋_GB2312" w:cs="仿宋_GB2312" w:eastAsia="仿宋_GB2312"/>
              </w:rPr>
              <w:t>近三年内(本项目响应文件递交截止日前)供应商在经营活动中没有重大违法记录，供应商须提供书面声明（加盖公章）</w:t>
            </w:r>
          </w:p>
        </w:tc>
      </w:tr>
      <w:tr>
        <w:tc>
          <w:tcPr>
            <w:tcW w:type="dxa" w:w="831"/>
          </w:tcPr>
          <w:p>
            <w:pPr>
              <w:pStyle w:val="null5"/>
              <w:jc w:val="left"/>
            </w:pPr>
            <w:r>
              <w:rPr>
                <w:rFonts w:ascii="仿宋_GB2312" w:hAnsi="仿宋_GB2312" w:cs="仿宋_GB2312" w:eastAsia="仿宋_GB2312"/>
              </w:rPr>
              <w:t>7</w:t>
            </w:r>
          </w:p>
        </w:tc>
        <w:tc>
          <w:tcPr>
            <w:tcW w:type="dxa" w:w="3322"/>
          </w:tcPr>
          <w:p>
            <w:pPr>
              <w:pStyle w:val="null5"/>
              <w:jc w:val="left"/>
            </w:pPr>
            <w:r>
              <w:rPr>
                <w:rFonts w:ascii="仿宋_GB2312" w:hAnsi="仿宋_GB2312" w:cs="仿宋_GB2312" w:eastAsia="仿宋_GB2312"/>
              </w:rPr>
              <w:t>供应商无不良信用记录</w:t>
            </w:r>
          </w:p>
        </w:tc>
        <w:tc>
          <w:tcPr>
            <w:tcW w:type="dxa" w:w="4153"/>
          </w:tcPr>
          <w:p>
            <w:pPr>
              <w:pStyle w:val="null5"/>
              <w:jc w:val="left"/>
            </w:pPr>
            <w:r>
              <w:rPr>
                <w:rFonts w:ascii="仿宋_GB2312" w:hAnsi="仿宋_GB2312" w:cs="仿宋_GB2312" w:eastAsia="仿宋_GB2312"/>
              </w:rPr>
              <w:t>供应商无不良信用记录通过“信用中国”或“信用山东”、“中国政府采购网”网站查询供应商信用记录，未被列入失信被执行人、重大税收违法案件当事人名单及政府采购严重违法失信行为记录名单的</w:t>
            </w:r>
          </w:p>
        </w:tc>
      </w:tr>
      <w:tr>
        <w:tc>
          <w:tcPr>
            <w:tcW w:type="dxa" w:w="831"/>
          </w:tcPr>
          <w:p>
            <w:pPr>
              <w:pStyle w:val="null5"/>
              <w:jc w:val="left"/>
            </w:pPr>
            <w:r>
              <w:rPr>
                <w:rFonts w:ascii="仿宋_GB2312" w:hAnsi="仿宋_GB2312" w:cs="仿宋_GB2312" w:eastAsia="仿宋_GB2312"/>
              </w:rPr>
              <w:t>8</w:t>
            </w:r>
          </w:p>
        </w:tc>
        <w:tc>
          <w:tcPr>
            <w:tcW w:type="dxa" w:w="3322"/>
          </w:tcPr>
          <w:p>
            <w:pPr>
              <w:pStyle w:val="null5"/>
              <w:jc w:val="left"/>
            </w:pPr>
            <w:r>
              <w:rPr>
                <w:rFonts w:ascii="仿宋_GB2312" w:hAnsi="仿宋_GB2312" w:cs="仿宋_GB2312" w:eastAsia="仿宋_GB2312"/>
              </w:rPr>
              <w:t>单位负责人为同一人或者存在直接控股、管理关系的不同供应商， 不得参加同一包的投标或者未划分包的同一项目的投标</w:t>
            </w:r>
          </w:p>
        </w:tc>
        <w:tc>
          <w:tcPr>
            <w:tcW w:type="dxa" w:w="4153"/>
          </w:tcPr>
          <w:p>
            <w:pPr>
              <w:pStyle w:val="null5"/>
              <w:jc w:val="left"/>
            </w:pPr>
            <w:r>
              <w:rPr>
                <w:rFonts w:ascii="仿宋_GB2312" w:hAnsi="仿宋_GB2312" w:cs="仿宋_GB2312" w:eastAsia="仿宋_GB2312"/>
              </w:rPr>
              <w:t>供应商须提供书面声明（加盖公章）</w:t>
            </w:r>
          </w:p>
        </w:tc>
      </w:tr>
      <w:tr>
        <w:tc>
          <w:tcPr>
            <w:tcW w:type="dxa" w:w="831"/>
          </w:tcPr>
          <w:p>
            <w:pPr>
              <w:pStyle w:val="null5"/>
              <w:jc w:val="left"/>
            </w:pPr>
            <w:r>
              <w:rPr>
                <w:rFonts w:ascii="仿宋_GB2312" w:hAnsi="仿宋_GB2312" w:cs="仿宋_GB2312" w:eastAsia="仿宋_GB2312"/>
              </w:rPr>
              <w:t>9</w:t>
            </w:r>
          </w:p>
        </w:tc>
        <w:tc>
          <w:tcPr>
            <w:tcW w:type="dxa" w:w="3322"/>
          </w:tcPr>
          <w:p>
            <w:pPr>
              <w:pStyle w:val="null5"/>
              <w:jc w:val="left"/>
            </w:pPr>
            <w:r>
              <w:rPr>
                <w:rFonts w:ascii="仿宋_GB2312" w:hAnsi="仿宋_GB2312" w:cs="仿宋_GB2312" w:eastAsia="仿宋_GB2312"/>
              </w:rPr>
              <w:t>符合法律、行政法规规定的其他条件</w:t>
            </w:r>
          </w:p>
        </w:tc>
        <w:tc>
          <w:tcPr>
            <w:tcW w:type="dxa" w:w="4153"/>
          </w:tcPr>
          <w:p>
            <w:pPr>
              <w:pStyle w:val="null5"/>
              <w:jc w:val="left"/>
            </w:pPr>
            <w:r>
              <w:rPr>
                <w:rFonts w:ascii="仿宋_GB2312" w:hAnsi="仿宋_GB2312" w:cs="仿宋_GB2312" w:eastAsia="仿宋_GB2312"/>
              </w:rPr>
              <w:t>符合法律、行政法规规定的其他条件</w:t>
            </w:r>
          </w:p>
        </w:tc>
      </w:tr>
    </w:tbl>
    <w:p>
      <w:pPr>
        <w:pStyle w:val="null5"/>
        <w:ind w:firstLine="480"/>
        <w:jc w:val="left"/>
        <w:outlineLvl w:val="2"/>
      </w:pPr>
      <w:r>
        <w:rPr>
          <w:rFonts w:ascii="仿宋_GB2312" w:hAnsi="仿宋_GB2312" w:cs="仿宋_GB2312" w:eastAsia="仿宋_GB2312"/>
          <w:sz w:val="28"/>
          <w:b/>
        </w:rPr>
        <w:t>8、供应商特殊资格要求</w:t>
      </w:r>
    </w:p>
    <w:p>
      <w:pPr>
        <w:pStyle w:val="null5"/>
        <w:ind w:firstLine="480"/>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3322"/>
        <w:gridCol w:w="4153"/>
      </w:tblGrid>
      <w:tr>
        <w:tc>
          <w:tcPr>
            <w:tcW w:type="dxa" w:w="831"/>
          </w:tcPr>
          <w:p>
            <w:pPr>
              <w:pStyle w:val="null5"/>
              <w:jc w:val="left"/>
            </w:pPr>
            <w:r>
              <w:rPr>
                <w:rFonts w:ascii="仿宋_GB2312" w:hAnsi="仿宋_GB2312" w:cs="仿宋_GB2312" w:eastAsia="仿宋_GB2312"/>
              </w:rPr>
              <w:t xml:space="preserve"> 序号</w:t>
            </w:r>
          </w:p>
        </w:tc>
        <w:tc>
          <w:tcPr>
            <w:tcW w:type="dxa" w:w="3322"/>
          </w:tcPr>
          <w:p>
            <w:pPr>
              <w:pStyle w:val="null5"/>
              <w:jc w:val="left"/>
            </w:pPr>
            <w:r>
              <w:rPr>
                <w:rFonts w:ascii="仿宋_GB2312" w:hAnsi="仿宋_GB2312" w:cs="仿宋_GB2312" w:eastAsia="仿宋_GB2312"/>
              </w:rPr>
              <w:t xml:space="preserve"> 资格审查要求概况</w:t>
            </w:r>
          </w:p>
        </w:tc>
        <w:tc>
          <w:tcPr>
            <w:tcW w:type="dxa" w:w="4153"/>
          </w:tcPr>
          <w:p>
            <w:pPr>
              <w:pStyle w:val="null5"/>
              <w:jc w:val="left"/>
            </w:pPr>
            <w:r>
              <w:rPr>
                <w:rFonts w:ascii="仿宋_GB2312" w:hAnsi="仿宋_GB2312" w:cs="仿宋_GB2312" w:eastAsia="仿宋_GB2312"/>
              </w:rPr>
              <w:t xml:space="preserve"> 评审点具体描述</w:t>
            </w:r>
          </w:p>
        </w:tc>
      </w:tr>
      <w:tr>
        <w:tc>
          <w:tcPr>
            <w:tcW w:type="dxa" w:w="831"/>
          </w:tcPr>
          <w:p>
            <w:pPr>
              <w:pStyle w:val="null5"/>
              <w:jc w:val="left"/>
            </w:pPr>
            <w:r>
              <w:rPr>
                <w:rFonts w:ascii="仿宋_GB2312" w:hAnsi="仿宋_GB2312" w:cs="仿宋_GB2312" w:eastAsia="仿宋_GB2312"/>
              </w:rPr>
              <w:t>1</w:t>
            </w:r>
          </w:p>
        </w:tc>
        <w:tc>
          <w:tcPr>
            <w:tcW w:type="dxa" w:w="3322"/>
          </w:tcPr>
          <w:p>
            <w:pPr>
              <w:pStyle w:val="null5"/>
              <w:jc w:val="left"/>
            </w:pPr>
            <w:r>
              <w:rPr>
                <w:rFonts w:ascii="仿宋_GB2312" w:hAnsi="仿宋_GB2312" w:cs="仿宋_GB2312" w:eastAsia="仿宋_GB2312"/>
              </w:rPr>
              <w:t>拟派项目负责人（项目经理）为本单位自有人员且不兼职其他在建工程项目；造价、安全、施工、材料、质检（量）等人员，应满足项目实际需求</w:t>
            </w:r>
          </w:p>
        </w:tc>
        <w:tc>
          <w:tcPr>
            <w:tcW w:type="dxa" w:w="4153"/>
          </w:tcPr>
          <w:p>
            <w:pPr>
              <w:pStyle w:val="null5"/>
              <w:jc w:val="left"/>
            </w:pPr>
            <w:r>
              <w:rPr>
                <w:rFonts w:ascii="仿宋_GB2312" w:hAnsi="仿宋_GB2312" w:cs="仿宋_GB2312" w:eastAsia="仿宋_GB2312"/>
              </w:rPr>
              <w:t>拟派项目负责人（项目经理）为本单位自有人员且不兼职其他在建工程项目；造价、安全、施工、材料、质检（量）等人员，应满足项目实际需求</w:t>
            </w:r>
          </w:p>
        </w:tc>
      </w:tr>
    </w:tbl>
    <w:p>
      <w:pPr>
        <w:pStyle w:val="null5"/>
        <w:ind w:firstLine="480"/>
        <w:jc w:val="left"/>
      </w:pPr>
      <w:r>
        <w:rPr>
          <w:rFonts w:ascii="仿宋_GB2312" w:hAnsi="仿宋_GB2312" w:cs="仿宋_GB2312" w:eastAsia="仿宋_GB2312"/>
        </w:rPr>
        <w:t>落实政府采购政策的资格要求</w:t>
      </w:r>
    </w:p>
    <w:p>
      <w:pPr>
        <w:pStyle w:val="null5"/>
        <w:ind w:firstLine="480"/>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3692"/>
        <w:gridCol w:w="4614"/>
      </w:tblGrid>
      <w:tr>
        <w:tc>
          <w:tcPr>
            <w:tcW w:type="dxa" w:w="3692"/>
          </w:tcPr>
          <w:p>
            <w:pPr>
              <w:pStyle w:val="null5"/>
              <w:jc w:val="left"/>
            </w:pPr>
            <w:r>
              <w:rPr>
                <w:rFonts w:ascii="仿宋_GB2312" w:hAnsi="仿宋_GB2312" w:cs="仿宋_GB2312" w:eastAsia="仿宋_GB2312"/>
              </w:rPr>
              <w:t xml:space="preserve"> 资格审查要求概况</w:t>
            </w:r>
          </w:p>
        </w:tc>
        <w:tc>
          <w:tcPr>
            <w:tcW w:type="dxa" w:w="4614"/>
          </w:tcPr>
          <w:p>
            <w:pPr>
              <w:pStyle w:val="null5"/>
              <w:jc w:val="left"/>
            </w:pPr>
            <w:r>
              <w:rPr>
                <w:rFonts w:ascii="仿宋_GB2312" w:hAnsi="仿宋_GB2312" w:cs="仿宋_GB2312" w:eastAsia="仿宋_GB2312"/>
              </w:rPr>
              <w:t xml:space="preserve"> 评审点具体描述</w:t>
            </w:r>
          </w:p>
        </w:tc>
      </w:tr>
      <w:tr>
        <w:tc>
          <w:tcPr>
            <w:tcW w:type="dxa" w:w="3692"/>
          </w:tcPr>
          <w:p>
            <w:pPr>
              <w:pStyle w:val="null5"/>
              <w:jc w:val="left"/>
            </w:pPr>
            <w:r>
              <w:rPr>
                <w:rFonts w:ascii="仿宋_GB2312" w:hAnsi="仿宋_GB2312" w:cs="仿宋_GB2312" w:eastAsia="仿宋_GB2312"/>
              </w:rPr>
              <w:t>本采购包属于专门面向中小企业采购。</w:t>
            </w:r>
          </w:p>
        </w:tc>
        <w:tc>
          <w:tcPr>
            <w:tcW w:type="dxa" w:w="4614"/>
          </w:tcPr>
          <w:p>
            <w:pPr>
              <w:pStyle w:val="null5"/>
              <w:jc w:val="left"/>
            </w:pPr>
            <w:r>
              <w:rPr>
                <w:rFonts w:ascii="仿宋_GB2312" w:hAnsi="仿宋_GB2312" w:cs="仿宋_GB2312" w:eastAsia="仿宋_GB2312"/>
              </w:rPr>
              <w:t>本采购包为专门面向中小企业采购，供应商须提供中小企业声明函。监狱企业、残疾人福利性单位视同小型、微型企业。</w:t>
            </w:r>
          </w:p>
        </w:tc>
      </w:tr>
    </w:tbl>
    <w:p>
      <w:pPr>
        <w:pStyle w:val="null5"/>
        <w:ind w:firstLine="480"/>
        <w:jc w:val="left"/>
        <w:outlineLvl w:val="2"/>
      </w:pPr>
      <w:r>
        <w:rPr>
          <w:rFonts w:ascii="仿宋_GB2312" w:hAnsi="仿宋_GB2312" w:cs="仿宋_GB2312" w:eastAsia="仿宋_GB2312"/>
          <w:sz w:val="28"/>
          <w:b/>
        </w:rPr>
        <w:t>9、分包的评审条款</w:t>
      </w:r>
    </w:p>
    <w:p>
      <w:pPr>
        <w:pStyle w:val="null5"/>
        <w:ind w:firstLine="480"/>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1038"/>
        <w:gridCol w:w="2076"/>
        <w:gridCol w:w="3115"/>
        <w:gridCol w:w="1038"/>
        <w:gridCol w:w="1038"/>
      </w:tblGrid>
      <w:tr>
        <w:tc>
          <w:tcPr>
            <w:tcW w:type="dxa" w:w="3114"/>
            <w:gridSpan w:val="2"/>
          </w:tcPr>
          <w:p>
            <w:pPr>
              <w:pStyle w:val="null5"/>
              <w:jc w:val="center"/>
            </w:pPr>
            <w:r>
              <w:rPr>
                <w:rFonts w:ascii="仿宋_GB2312" w:hAnsi="仿宋_GB2312" w:cs="仿宋_GB2312" w:eastAsia="仿宋_GB2312"/>
              </w:rPr>
              <w:t xml:space="preserve"> 评审内容</w:t>
            </w:r>
          </w:p>
        </w:tc>
        <w:tc>
          <w:tcPr>
            <w:tcW w:type="dxa" w:w="5191"/>
            <w:gridSpan w:val="3"/>
          </w:tcPr>
          <w:p>
            <w:pPr>
              <w:pStyle w:val="null5"/>
              <w:jc w:val="center"/>
            </w:pPr>
            <w:r>
              <w:rPr>
                <w:rFonts w:ascii="仿宋_GB2312" w:hAnsi="仿宋_GB2312" w:cs="仿宋_GB2312" w:eastAsia="仿宋_GB2312"/>
              </w:rPr>
              <w:t xml:space="preserve"> 评审标准</w:t>
            </w:r>
          </w:p>
        </w:tc>
      </w:tr>
      <w:tr>
        <w:tc>
          <w:tcPr>
            <w:tcW w:type="dxa" w:w="3114"/>
            <w:gridSpan w:val="2"/>
          </w:tcPr>
          <w:p>
            <w:pPr>
              <w:pStyle w:val="null5"/>
              <w:jc w:val="center"/>
            </w:pPr>
            <w:r>
              <w:rPr>
                <w:rFonts w:ascii="仿宋_GB2312" w:hAnsi="仿宋_GB2312" w:cs="仿宋_GB2312" w:eastAsia="仿宋_GB2312"/>
              </w:rPr>
              <w:t xml:space="preserve"> 分值构成</w:t>
            </w:r>
          </w:p>
        </w:tc>
        <w:tc>
          <w:tcPr>
            <w:tcW w:type="dxa" w:w="5191"/>
            <w:gridSpan w:val="3"/>
          </w:tcPr>
          <w:p>
            <w:pPr>
              <w:pStyle w:val="null5"/>
              <w:jc w:val="left"/>
            </w:pPr>
            <w:r>
              <w:rPr>
                <w:rFonts w:ascii="仿宋_GB2312" w:hAnsi="仿宋_GB2312" w:cs="仿宋_GB2312" w:eastAsia="仿宋_GB2312"/>
              </w:rPr>
              <w:t>技术部分60.00分</w:t>
            </w:r>
          </w:p>
          <w:p>
            <w:pPr>
              <w:pStyle w:val="null5"/>
              <w:jc w:val="left"/>
            </w:pPr>
            <w:r>
              <w:rPr>
                <w:rFonts w:ascii="仿宋_GB2312" w:hAnsi="仿宋_GB2312" w:cs="仿宋_GB2312" w:eastAsia="仿宋_GB2312"/>
              </w:rPr>
              <w:t>商务部分20.00分</w:t>
            </w:r>
          </w:p>
          <w:p>
            <w:pPr>
              <w:pStyle w:val="null5"/>
              <w:jc w:val="left"/>
            </w:pPr>
            <w:r>
              <w:rPr>
                <w:rFonts w:ascii="仿宋_GB2312" w:hAnsi="仿宋_GB2312" w:cs="仿宋_GB2312" w:eastAsia="仿宋_GB2312"/>
              </w:rPr>
              <w:t>报价得分20.00分</w:t>
            </w:r>
          </w:p>
        </w:tc>
      </w:tr>
      <w:tr>
        <w:tc>
          <w:tcPr>
            <w:tcW w:type="dxa" w:w="1038"/>
          </w:tcPr>
          <w:p>
            <w:pPr>
              <w:pStyle w:val="null5"/>
              <w:jc w:val="center"/>
            </w:pPr>
            <w:r>
              <w:rPr>
                <w:rFonts w:ascii="仿宋_GB2312" w:hAnsi="仿宋_GB2312" w:cs="仿宋_GB2312" w:eastAsia="仿宋_GB2312"/>
              </w:rPr>
              <w:t xml:space="preserve"> 评审因素分类</w:t>
            </w:r>
          </w:p>
        </w:tc>
        <w:tc>
          <w:tcPr>
            <w:tcW w:type="dxa" w:w="2076"/>
          </w:tcPr>
          <w:p>
            <w:pPr>
              <w:pStyle w:val="null5"/>
              <w:jc w:val="center"/>
            </w:pPr>
            <w:r>
              <w:rPr>
                <w:rFonts w:ascii="仿宋_GB2312" w:hAnsi="仿宋_GB2312" w:cs="仿宋_GB2312" w:eastAsia="仿宋_GB2312"/>
              </w:rPr>
              <w:t xml:space="preserve"> 评审内容</w:t>
            </w:r>
          </w:p>
        </w:tc>
        <w:tc>
          <w:tcPr>
            <w:tcW w:type="dxa" w:w="3115"/>
          </w:tcPr>
          <w:p>
            <w:pPr>
              <w:pStyle w:val="null5"/>
              <w:jc w:val="center"/>
            </w:pPr>
            <w:r>
              <w:rPr>
                <w:rFonts w:ascii="仿宋_GB2312" w:hAnsi="仿宋_GB2312" w:cs="仿宋_GB2312" w:eastAsia="仿宋_GB2312"/>
              </w:rPr>
              <w:t xml:space="preserve"> 具体标准和要求</w:t>
            </w:r>
          </w:p>
        </w:tc>
        <w:tc>
          <w:tcPr>
            <w:tcW w:type="dxa" w:w="1038"/>
          </w:tcPr>
          <w:p>
            <w:pPr>
              <w:pStyle w:val="null5"/>
              <w:jc w:val="center"/>
            </w:pPr>
            <w:r>
              <w:rPr>
                <w:rFonts w:ascii="仿宋_GB2312" w:hAnsi="仿宋_GB2312" w:cs="仿宋_GB2312" w:eastAsia="仿宋_GB2312"/>
              </w:rPr>
              <w:t xml:space="preserve"> 分值</w:t>
            </w:r>
          </w:p>
        </w:tc>
        <w:tc>
          <w:tcPr>
            <w:tcW w:type="dxa" w:w="1038"/>
          </w:tcPr>
          <w:p>
            <w:pPr>
              <w:pStyle w:val="null5"/>
              <w:jc w:val="center"/>
            </w:pPr>
            <w:r>
              <w:rPr>
                <w:rFonts w:ascii="仿宋_GB2312" w:hAnsi="仿宋_GB2312" w:cs="仿宋_GB2312" w:eastAsia="仿宋_GB2312"/>
              </w:rPr>
              <w:t xml:space="preserve"> 客观/主观</w:t>
            </w:r>
          </w:p>
        </w:tc>
      </w:tr>
      <w:tr>
        <w:tc>
          <w:tcPr>
            <w:tcW w:type="dxa" w:w="1038"/>
            <w:vMerge w:val="restart"/>
          </w:tcPr>
          <w:p>
            <w:pPr>
              <w:pStyle w:val="null5"/>
              <w:jc w:val="left"/>
            </w:pPr>
            <w:r>
              <w:rPr>
                <w:rFonts w:ascii="仿宋_GB2312" w:hAnsi="仿宋_GB2312" w:cs="仿宋_GB2312" w:eastAsia="仿宋_GB2312"/>
              </w:rPr>
              <w:t>技术评审</w:t>
            </w:r>
          </w:p>
        </w:tc>
        <w:tc>
          <w:tcPr>
            <w:tcW w:type="dxa" w:w="2076"/>
          </w:tcPr>
          <w:p>
            <w:pPr>
              <w:pStyle w:val="null5"/>
              <w:jc w:val="left"/>
            </w:pPr>
            <w:r>
              <w:rPr>
                <w:rFonts w:ascii="仿宋_GB2312" w:hAnsi="仿宋_GB2312" w:cs="仿宋_GB2312" w:eastAsia="仿宋_GB2312"/>
              </w:rPr>
              <w:t>施⼯组织设计1</w:t>
            </w:r>
          </w:p>
        </w:tc>
        <w:tc>
          <w:tcPr>
            <w:tcW w:type="dxa" w:w="3115"/>
          </w:tcPr>
          <w:p>
            <w:pPr>
              <w:pStyle w:val="null5"/>
              <w:jc w:val="left"/>
            </w:pPr>
            <w:r>
              <w:rPr>
                <w:rFonts w:ascii="仿宋_GB2312" w:hAnsi="仿宋_GB2312" w:cs="仿宋_GB2312" w:eastAsia="仿宋_GB2312"/>
              </w:rPr>
              <w:t>总体概述：施⼯组织总体设想、⽅案针对性和施⼯段划分等科学、合理、可⾏，满分8分；每出现⼀处相对弱项或不完整、针对性不强、不合理之处扣0.5分，扣完为⽌。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8.00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施⼯组织设计2</w:t>
            </w:r>
          </w:p>
        </w:tc>
        <w:tc>
          <w:tcPr>
            <w:tcW w:type="dxa" w:w="3115"/>
          </w:tcPr>
          <w:p>
            <w:pPr>
              <w:pStyle w:val="null5"/>
              <w:jc w:val="left"/>
            </w:pPr>
            <w:r>
              <w:rPr>
                <w:rFonts w:ascii="仿宋_GB2312" w:hAnsi="仿宋_GB2312" w:cs="仿宋_GB2312" w:eastAsia="仿宋_GB2312"/>
              </w:rPr>
              <w:t>施⼯场地全域彻底清理方案(包含针对原有枯树杂草、建筑垃圾清理及外运流程等)和临时设施、临时道路布置合理、完善，有针对性，满分8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8.00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施⼯组织设计3</w:t>
            </w:r>
          </w:p>
        </w:tc>
        <w:tc>
          <w:tcPr>
            <w:tcW w:type="dxa" w:w="3115"/>
          </w:tcPr>
          <w:p>
            <w:pPr>
              <w:pStyle w:val="null5"/>
              <w:jc w:val="left"/>
            </w:pPr>
            <w:r>
              <w:rPr>
                <w:rFonts w:ascii="仿宋_GB2312" w:hAnsi="仿宋_GB2312" w:cs="仿宋_GB2312" w:eastAsia="仿宋_GB2312"/>
              </w:rPr>
              <w:t>施⼯进度计划和各阶段进度的保证措施：根据⼯程进度计划清晰合理（包括不限于主要材料供货时间节点，材料进⼊施⼯现场时间节点安排，⼯期进度计划安排；关键线路清晰、准确、完整等内容）；确保不影响学校教学、科研、办公及正常⽣活秩序的措施科学、合理,进度保障措施合理、可⾏，满分8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8.00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施⼯组织设计4</w:t>
            </w:r>
          </w:p>
        </w:tc>
        <w:tc>
          <w:tcPr>
            <w:tcW w:type="dxa" w:w="3115"/>
          </w:tcPr>
          <w:p>
            <w:pPr>
              <w:pStyle w:val="null5"/>
              <w:jc w:val="left"/>
            </w:pPr>
            <w:r>
              <w:rPr>
                <w:rFonts w:ascii="仿宋_GB2312" w:hAnsi="仿宋_GB2312" w:cs="仿宋_GB2312" w:eastAsia="仿宋_GB2312"/>
              </w:rPr>
              <w:t>各分部分项⼯程的施⼯⽅案和质量保证措施：分部分项⼯程涵盖涉及到各项⽬，施⼯⽅案描述清晰明确、有针对性，质量控制⽬标明确，质量保障措施科学、合理、可⾏，满分6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6.00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施⼯组织设计5</w:t>
            </w:r>
          </w:p>
        </w:tc>
        <w:tc>
          <w:tcPr>
            <w:tcW w:type="dxa" w:w="3115"/>
          </w:tcPr>
          <w:p>
            <w:pPr>
              <w:pStyle w:val="null5"/>
              <w:jc w:val="left"/>
            </w:pPr>
            <w:r>
              <w:rPr>
                <w:rFonts w:ascii="仿宋_GB2312" w:hAnsi="仿宋_GB2312" w:cs="仿宋_GB2312" w:eastAsia="仿宋_GB2312"/>
              </w:rPr>
              <w:t>劳动⼒、机械设备和材料投⼊计划科学、合理、满⾜⼯程实际需要（本项⽬⼯期紧、任务重，需多个⼯作⾯、施⼯点同时展开，⼈⼒、机械需多点投⼊，需进⾏详细布局安排），满分5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5.00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施⼯组织设计6</w:t>
            </w:r>
          </w:p>
        </w:tc>
        <w:tc>
          <w:tcPr>
            <w:tcW w:type="dxa" w:w="3115"/>
          </w:tcPr>
          <w:p>
            <w:pPr>
              <w:pStyle w:val="null5"/>
              <w:jc w:val="left"/>
            </w:pPr>
            <w:r>
              <w:rPr>
                <w:rFonts w:ascii="仿宋_GB2312" w:hAnsi="仿宋_GB2312" w:cs="仿宋_GB2312" w:eastAsia="仿宋_GB2312"/>
              </w:rPr>
              <w:t>根据供应商提供的地被植物密植种植工程方案(包含地被种植工艺、苗木质量把控、密植标准、景观效果等)进行综合评审，满分6分；每出现⼀处相对弱项或不完整、针对性不强、不合理之处扣0.5分，扣完为⽌。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6.00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施⼯组织设计7</w:t>
            </w:r>
          </w:p>
        </w:tc>
        <w:tc>
          <w:tcPr>
            <w:tcW w:type="dxa" w:w="3115"/>
          </w:tcPr>
          <w:p>
            <w:pPr>
              <w:pStyle w:val="null5"/>
              <w:jc w:val="left"/>
            </w:pPr>
            <w:r>
              <w:rPr>
                <w:rFonts w:ascii="仿宋_GB2312" w:hAnsi="仿宋_GB2312" w:cs="仿宋_GB2312" w:eastAsia="仿宋_GB2312"/>
              </w:rPr>
              <w:t>安全⽂明施⼯⽅案及安全保障措施：安全⽂明施⼯⽅案合理完善、具有操作性、预警性，安全保障措施（包含但不限于安装安全围栏警⽰牌保护措施等，现场施⼯安全、施⼯现场周边⼈员安全保护⽅案等）科学、合理、可⾏，满分5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5.00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施⼯组织设计8</w:t>
            </w:r>
          </w:p>
        </w:tc>
        <w:tc>
          <w:tcPr>
            <w:tcW w:type="dxa" w:w="3115"/>
          </w:tcPr>
          <w:p>
            <w:pPr>
              <w:pStyle w:val="null5"/>
              <w:jc w:val="left"/>
            </w:pPr>
            <w:r>
              <w:rPr>
                <w:rFonts w:ascii="仿宋_GB2312" w:hAnsi="仿宋_GB2312" w:cs="仿宋_GB2312" w:eastAsia="仿宋_GB2312"/>
              </w:rPr>
              <w:t>环境保护措施（含扬尘污染控制措施），包括但不限于建⽴健全扬尘防治责任制、制定扬尘防治专项⽅案、落实各项防治具体措施；使⽤国三及以上或者新能源⾮道路移动机械等污染控制措施，满分5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5.00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施⼯组织设计9</w:t>
            </w:r>
          </w:p>
        </w:tc>
        <w:tc>
          <w:tcPr>
            <w:tcW w:type="dxa" w:w="3115"/>
          </w:tcPr>
          <w:p>
            <w:pPr>
              <w:pStyle w:val="null5"/>
              <w:jc w:val="left"/>
            </w:pPr>
            <w:r>
              <w:rPr>
                <w:rFonts w:ascii="仿宋_GB2312" w:hAnsi="仿宋_GB2312" w:cs="仿宋_GB2312" w:eastAsia="仿宋_GB2312"/>
              </w:rPr>
              <w:t>养护工作方案及措施，包括不限于养护工作方案总则、养护措施、附属设施养护、季节性与应急养护、科学、合理、可行，满分6分；每出现⼀处相对弱项或不完整、针对性不强、不合理之处扣0.5分，扣完为⽌。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6.00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施⼯组织设计10</w:t>
            </w:r>
          </w:p>
        </w:tc>
        <w:tc>
          <w:tcPr>
            <w:tcW w:type="dxa" w:w="3115"/>
          </w:tcPr>
          <w:p>
            <w:pPr>
              <w:pStyle w:val="null5"/>
              <w:jc w:val="left"/>
            </w:pPr>
            <w:r>
              <w:rPr>
                <w:rFonts w:ascii="仿宋_GB2312" w:hAnsi="仿宋_GB2312" w:cs="仿宋_GB2312" w:eastAsia="仿宋_GB2312"/>
              </w:rPr>
              <w:t>突发事件应急预案：根据本项⽬特殊性，制定切合实际的突发事件应急预案，预案科学合理、有预警性、有针对性，满分3分；每出现⼀处相对弱项或不完整、针对性不强、不合理之处扣0.5分，扣完为⽌。</w:t>
            </w:r>
          </w:p>
        </w:tc>
        <w:tc>
          <w:tcPr>
            <w:tcW w:type="dxa" w:w="1038"/>
          </w:tcPr>
          <w:p>
            <w:pPr>
              <w:pStyle w:val="null5"/>
              <w:jc w:val="right"/>
            </w:pPr>
            <w:r>
              <w:rPr>
                <w:rFonts w:ascii="仿宋_GB2312" w:hAnsi="仿宋_GB2312" w:cs="仿宋_GB2312" w:eastAsia="仿宋_GB2312"/>
              </w:rPr>
              <w:t>3.00</w:t>
            </w:r>
          </w:p>
        </w:tc>
        <w:tc>
          <w:tcPr>
            <w:tcW w:type="dxa" w:w="1038"/>
          </w:tcPr>
          <w:p>
            <w:pPr>
              <w:pStyle w:val="null5"/>
              <w:jc w:val="left"/>
            </w:pPr>
            <w:r>
              <w:rPr>
                <w:rFonts w:ascii="仿宋_GB2312" w:hAnsi="仿宋_GB2312" w:cs="仿宋_GB2312" w:eastAsia="仿宋_GB2312"/>
              </w:rPr>
              <w:t>主观</w:t>
            </w:r>
          </w:p>
        </w:tc>
      </w:tr>
      <w:tr>
        <w:tc>
          <w:tcPr>
            <w:tcW w:type="dxa" w:w="1038"/>
            <w:vMerge w:val="restart"/>
          </w:tcPr>
          <w:p>
            <w:pPr>
              <w:pStyle w:val="null5"/>
              <w:jc w:val="left"/>
            </w:pPr>
            <w:r>
              <w:rPr>
                <w:rFonts w:ascii="仿宋_GB2312" w:hAnsi="仿宋_GB2312" w:cs="仿宋_GB2312" w:eastAsia="仿宋_GB2312"/>
              </w:rPr>
              <w:t>商务评审</w:t>
            </w:r>
          </w:p>
        </w:tc>
        <w:tc>
          <w:tcPr>
            <w:tcW w:type="dxa" w:w="2076"/>
          </w:tcPr>
          <w:p>
            <w:pPr>
              <w:pStyle w:val="null5"/>
              <w:jc w:val="left"/>
            </w:pPr>
            <w:r>
              <w:rPr>
                <w:rFonts w:ascii="仿宋_GB2312" w:hAnsi="仿宋_GB2312" w:cs="仿宋_GB2312" w:eastAsia="仿宋_GB2312"/>
              </w:rPr>
              <w:t>企业业绩</w:t>
            </w:r>
          </w:p>
        </w:tc>
        <w:tc>
          <w:tcPr>
            <w:tcW w:type="dxa" w:w="3115"/>
          </w:tcPr>
          <w:p>
            <w:pPr>
              <w:pStyle w:val="null5"/>
              <w:jc w:val="left"/>
            </w:pPr>
            <w:r>
              <w:rPr>
                <w:rFonts w:ascii="仿宋_GB2312" w:hAnsi="仿宋_GB2312" w:cs="仿宋_GB2312" w:eastAsia="仿宋_GB2312"/>
              </w:rPr>
              <w:t>供应商⾃2023年9⽉1⽇起⾄报价截⽌⽇，具有类似项⽬业绩，每有⼀项得2分，最⾼得4分。注：时间以合同具体签订⽇期为准，供应商需将中标（成交）通知书、合同扫描件制作在响应⽂件中，否则不得分；类似业绩由磋商⼩组根据供应商所提供合同内容等认定，磋商⼩组⽆法在供应商所提供的有效资料中判断业绩类型、签订⽇期以及存在其他⽆法认定为有效业绩的情形，则不予得分；补充合同不单独计分。</w:t>
            </w:r>
          </w:p>
        </w:tc>
        <w:tc>
          <w:tcPr>
            <w:tcW w:type="dxa" w:w="1038"/>
          </w:tcPr>
          <w:p>
            <w:pPr>
              <w:pStyle w:val="null5"/>
              <w:jc w:val="right"/>
            </w:pPr>
            <w:r>
              <w:rPr>
                <w:rFonts w:ascii="仿宋_GB2312" w:hAnsi="仿宋_GB2312" w:cs="仿宋_GB2312" w:eastAsia="仿宋_GB2312"/>
              </w:rPr>
              <w:t>4.00</w:t>
            </w:r>
          </w:p>
        </w:tc>
        <w:tc>
          <w:tcPr>
            <w:tcW w:type="dxa" w:w="1038"/>
          </w:tcPr>
          <w:p>
            <w:pPr>
              <w:pStyle w:val="null5"/>
              <w:jc w:val="left"/>
            </w:pPr>
            <w:r>
              <w:rPr>
                <w:rFonts w:ascii="仿宋_GB2312" w:hAnsi="仿宋_GB2312" w:cs="仿宋_GB2312" w:eastAsia="仿宋_GB2312"/>
              </w:rPr>
              <w:t>客观</w:t>
            </w:r>
          </w:p>
        </w:tc>
      </w:tr>
      <w:tr>
        <w:tc>
          <w:tcPr>
            <w:tcW w:type="dxa" w:w="1038"/>
            <w:vMerge/>
          </w:tcPr>
          <w:p/>
        </w:tc>
        <w:tc>
          <w:tcPr>
            <w:tcW w:type="dxa" w:w="2076"/>
          </w:tcPr>
          <w:p>
            <w:pPr>
              <w:pStyle w:val="null5"/>
              <w:jc w:val="left"/>
            </w:pPr>
            <w:r>
              <w:rPr>
                <w:rFonts w:ascii="仿宋_GB2312" w:hAnsi="仿宋_GB2312" w:cs="仿宋_GB2312" w:eastAsia="仿宋_GB2312"/>
              </w:rPr>
              <w:t>项目人员配备情况</w:t>
            </w:r>
          </w:p>
        </w:tc>
        <w:tc>
          <w:tcPr>
            <w:tcW w:type="dxa" w:w="3115"/>
          </w:tcPr>
          <w:p>
            <w:pPr>
              <w:pStyle w:val="null5"/>
              <w:jc w:val="left"/>
            </w:pPr>
            <w:r>
              <w:rPr>
                <w:rFonts w:ascii="仿宋_GB2312" w:hAnsi="仿宋_GB2312" w:cs="仿宋_GB2312" w:eastAsia="仿宋_GB2312"/>
              </w:rPr>
              <w:t>项目人员配备合理，岗位设置科学、分工明确，符合工程要求，提出了合理的组织机构和全面的项目管理制度，保证项目负责人和核心团队人员在项目实施期间不得变更，满分6分，每发现一处不合理扣0.5分,扣完为止。</w:t>
            </w:r>
          </w:p>
        </w:tc>
        <w:tc>
          <w:tcPr>
            <w:tcW w:type="dxa" w:w="1038"/>
          </w:tcPr>
          <w:p>
            <w:pPr>
              <w:pStyle w:val="null5"/>
              <w:jc w:val="right"/>
            </w:pPr>
            <w:r>
              <w:rPr>
                <w:rFonts w:ascii="仿宋_GB2312" w:hAnsi="仿宋_GB2312" w:cs="仿宋_GB2312" w:eastAsia="仿宋_GB2312"/>
              </w:rPr>
              <w:t>6.00</w:t>
            </w:r>
          </w:p>
        </w:tc>
        <w:tc>
          <w:tcPr>
            <w:tcW w:type="dxa" w:w="1038"/>
          </w:tcPr>
          <w:p>
            <w:pPr>
              <w:pStyle w:val="null5"/>
              <w:jc w:val="left"/>
            </w:pPr>
            <w:r>
              <w:rPr>
                <w:rFonts w:ascii="仿宋_GB2312" w:hAnsi="仿宋_GB2312" w:cs="仿宋_GB2312" w:eastAsia="仿宋_GB2312"/>
              </w:rPr>
              <w:t>主观</w:t>
            </w:r>
          </w:p>
        </w:tc>
      </w:tr>
      <w:tr>
        <w:tc>
          <w:tcPr>
            <w:tcW w:type="dxa" w:w="1038"/>
            <w:vMerge/>
          </w:tcPr>
          <w:p/>
        </w:tc>
        <w:tc>
          <w:tcPr>
            <w:tcW w:type="dxa" w:w="2076"/>
          </w:tcPr>
          <w:p>
            <w:pPr>
              <w:pStyle w:val="null5"/>
              <w:jc w:val="left"/>
            </w:pPr>
            <w:r>
              <w:rPr>
                <w:rFonts w:ascii="仿宋_GB2312" w:hAnsi="仿宋_GB2312" w:cs="仿宋_GB2312" w:eastAsia="仿宋_GB2312"/>
              </w:rPr>
              <w:t>单价合理性</w:t>
            </w:r>
          </w:p>
        </w:tc>
        <w:tc>
          <w:tcPr>
            <w:tcW w:type="dxa" w:w="3115"/>
          </w:tcPr>
          <w:p>
            <w:pPr>
              <w:pStyle w:val="null5"/>
              <w:jc w:val="left"/>
            </w:pPr>
            <w:r>
              <w:rPr>
                <w:rFonts w:ascii="仿宋_GB2312" w:hAnsi="仿宋_GB2312" w:cs="仿宋_GB2312" w:eastAsia="仿宋_GB2312"/>
              </w:rPr>
              <w:t>主要单价计算符合常规计算方法， 单价合理， 主要材料（设备）价格合理 , 由专家磋商小组评审后酌情打分，满分10分；评委根据供应商的综合单价组价情况、主要材料（设备）明细表及材料市场价格评审， 明显不合理的（如明显低于市场平均价格、故意抬高报价、组价不合理、未按相关规定组价等）进行扣分， 评委每发现一处不合理或明显不符市场价格或未按照相关规定组价的及未报主要材料品牌的扣0.1分， 最多扣10分。</w:t>
            </w:r>
          </w:p>
        </w:tc>
        <w:tc>
          <w:tcPr>
            <w:tcW w:type="dxa" w:w="1038"/>
          </w:tcPr>
          <w:p>
            <w:pPr>
              <w:pStyle w:val="null5"/>
              <w:jc w:val="right"/>
            </w:pPr>
            <w:r>
              <w:rPr>
                <w:rFonts w:ascii="仿宋_GB2312" w:hAnsi="仿宋_GB2312" w:cs="仿宋_GB2312" w:eastAsia="仿宋_GB2312"/>
              </w:rPr>
              <w:t>10.00</w:t>
            </w:r>
          </w:p>
        </w:tc>
        <w:tc>
          <w:tcPr>
            <w:tcW w:type="dxa" w:w="1038"/>
          </w:tcPr>
          <w:p>
            <w:pPr>
              <w:pStyle w:val="null5"/>
              <w:jc w:val="left"/>
            </w:pPr>
            <w:r>
              <w:rPr>
                <w:rFonts w:ascii="仿宋_GB2312" w:hAnsi="仿宋_GB2312" w:cs="仿宋_GB2312" w:eastAsia="仿宋_GB2312"/>
              </w:rPr>
              <w:t>客观</w:t>
            </w:r>
          </w:p>
        </w:tc>
      </w:tr>
      <w:tr>
        <w:tc>
          <w:tcPr>
            <w:tcW w:type="dxa" w:w="1038"/>
          </w:tcPr>
          <w:p>
            <w:pPr>
              <w:pStyle w:val="null5"/>
              <w:jc w:val="left"/>
            </w:pPr>
            <w:r>
              <w:rPr>
                <w:rFonts w:ascii="仿宋_GB2312" w:hAnsi="仿宋_GB2312" w:cs="仿宋_GB2312" w:eastAsia="仿宋_GB2312"/>
              </w:rPr>
              <w:t>价格评审</w:t>
            </w:r>
          </w:p>
        </w:tc>
        <w:tc>
          <w:tcPr>
            <w:tcW w:type="dxa" w:w="2076"/>
          </w:tcPr>
          <w:p>
            <w:pPr>
              <w:pStyle w:val="null5"/>
              <w:jc w:val="left"/>
            </w:pPr>
            <w:r>
              <w:rPr>
                <w:rFonts w:ascii="仿宋_GB2312" w:hAnsi="仿宋_GB2312" w:cs="仿宋_GB2312" w:eastAsia="仿宋_GB2312"/>
              </w:rPr>
              <w:t>投标价格得分</w:t>
            </w:r>
          </w:p>
        </w:tc>
        <w:tc>
          <w:tcPr>
            <w:tcW w:type="dxa" w:w="3115"/>
          </w:tcPr>
          <w:p>
            <w:pPr>
              <w:pStyle w:val="null5"/>
              <w:jc w:val="left"/>
            </w:pPr>
            <w:r>
              <w:rPr>
                <w:rFonts w:ascii="仿宋_GB2312" w:hAnsi="仿宋_GB2312" w:cs="仿宋_GB2312" w:eastAsia="仿宋_GB2312"/>
              </w:rPr>
              <w:t>满足磋商文件要求且最终报价最低的供应商的价格为磋商基准价， 其价格分为满分。其他供应商的价格分统一按照下列公式计算： 磋商报价得分 =磋商基准价/最终价格×20%×100 , 等于或高于预算控制价的投标报价为无效报价。</w:t>
            </w:r>
          </w:p>
        </w:tc>
        <w:tc>
          <w:tcPr>
            <w:tcW w:type="dxa" w:w="1038"/>
          </w:tcPr>
          <w:p>
            <w:pPr>
              <w:pStyle w:val="null5"/>
              <w:jc w:val="right"/>
            </w:pPr>
            <w:r>
              <w:rPr>
                <w:rFonts w:ascii="仿宋_GB2312" w:hAnsi="仿宋_GB2312" w:cs="仿宋_GB2312" w:eastAsia="仿宋_GB2312"/>
              </w:rPr>
              <w:t>20.00</w:t>
            </w:r>
          </w:p>
        </w:tc>
        <w:tc>
          <w:tcPr>
            <w:tcW w:type="dxa" w:w="1038"/>
          </w:tcPr>
          <w:p>
            <w:pPr>
              <w:pStyle w:val="null5"/>
              <w:jc w:val="left"/>
            </w:pPr>
            <w:r>
              <w:rPr>
                <w:rFonts w:ascii="仿宋_GB2312" w:hAnsi="仿宋_GB2312" w:cs="仿宋_GB2312" w:eastAsia="仿宋_GB2312"/>
              </w:rPr>
              <w:t>客观</w:t>
            </w:r>
          </w:p>
        </w:tc>
      </w:tr>
    </w:tbl>
    <w:p>
      <w:pPr>
        <w:pStyle w:val="null5"/>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2492"/>
        <w:gridCol w:w="831"/>
        <w:gridCol w:w="2492"/>
      </w:tblGrid>
      <w:tr>
        <w:tc>
          <w:tcPr>
            <w:tcW w:type="dxa" w:w="831"/>
          </w:tcPr>
          <w:p>
            <w:pPr>
              <w:pStyle w:val="null5"/>
              <w:jc w:val="left"/>
            </w:pPr>
            <w:r>
              <w:rPr>
                <w:rFonts w:ascii="仿宋_GB2312" w:hAnsi="仿宋_GB2312" w:cs="仿宋_GB2312" w:eastAsia="仿宋_GB2312"/>
              </w:rPr>
              <w:t xml:space="preserve"> 序号</w:t>
            </w:r>
          </w:p>
        </w:tc>
        <w:tc>
          <w:tcPr>
            <w:tcW w:type="dxa" w:w="1661"/>
          </w:tcPr>
          <w:p>
            <w:pPr>
              <w:pStyle w:val="null5"/>
              <w:jc w:val="left"/>
            </w:pPr>
            <w:r>
              <w:rPr>
                <w:rFonts w:ascii="仿宋_GB2312" w:hAnsi="仿宋_GB2312" w:cs="仿宋_GB2312" w:eastAsia="仿宋_GB2312"/>
              </w:rPr>
              <w:t xml:space="preserve"> 情形</w:t>
            </w:r>
          </w:p>
        </w:tc>
        <w:tc>
          <w:tcPr>
            <w:tcW w:type="dxa" w:w="2492"/>
          </w:tcPr>
          <w:p>
            <w:pPr>
              <w:pStyle w:val="null5"/>
              <w:jc w:val="left"/>
            </w:pPr>
            <w:r>
              <w:rPr>
                <w:rFonts w:ascii="仿宋_GB2312" w:hAnsi="仿宋_GB2312" w:cs="仿宋_GB2312" w:eastAsia="仿宋_GB2312"/>
              </w:rPr>
              <w:t xml:space="preserve"> 适用对象</w:t>
            </w:r>
          </w:p>
        </w:tc>
        <w:tc>
          <w:tcPr>
            <w:tcW w:type="dxa" w:w="831"/>
          </w:tcPr>
          <w:p>
            <w:pPr>
              <w:pStyle w:val="null5"/>
              <w:jc w:val="left"/>
            </w:pPr>
            <w:r>
              <w:rPr>
                <w:rFonts w:ascii="仿宋_GB2312" w:hAnsi="仿宋_GB2312" w:cs="仿宋_GB2312" w:eastAsia="仿宋_GB2312"/>
              </w:rPr>
              <w:t xml:space="preserve"> 扣除比例</w:t>
            </w:r>
          </w:p>
        </w:tc>
        <w:tc>
          <w:tcPr>
            <w:tcW w:type="dxa" w:w="2492"/>
          </w:tcPr>
          <w:p>
            <w:pPr>
              <w:pStyle w:val="null5"/>
              <w:jc w:val="left"/>
            </w:pPr>
            <w:r>
              <w:rPr>
                <w:rFonts w:ascii="仿宋_GB2312" w:hAnsi="仿宋_GB2312" w:cs="仿宋_GB2312" w:eastAsia="仿宋_GB2312"/>
              </w:rPr>
              <w:t xml:space="preserve"> 说明</w:t>
            </w:r>
          </w:p>
        </w:tc>
      </w:tr>
      <w:tr>
        <w:tc>
          <w:tcPr>
            <w:tcW w:type="dxa" w:w="8307"/>
            <w:gridSpan w:val="5"/>
          </w:tcPr>
          <w:p>
            <w:pPr>
              <w:pStyle w:val="null5"/>
              <w:jc w:val="left"/>
            </w:pPr>
            <w:r>
              <w:rPr>
                <w:rFonts w:ascii="仿宋_GB2312" w:hAnsi="仿宋_GB2312" w:cs="仿宋_GB2312" w:eastAsia="仿宋_GB2312"/>
              </w:rPr>
              <w:t xml:space="preserve"> 无</w:t>
            </w:r>
          </w:p>
        </w:tc>
      </w:tr>
    </w:tbl>
    <w:p>
      <w:pPr>
        <w:pStyle w:val="null5"/>
        <w:ind w:firstLine="480"/>
        <w:jc w:val="left"/>
        <w:outlineLvl w:val="2"/>
      </w:pPr>
      <w:r>
        <w:rPr>
          <w:rFonts w:ascii="仿宋_GB2312" w:hAnsi="仿宋_GB2312" w:cs="仿宋_GB2312" w:eastAsia="仿宋_GB2312"/>
          <w:sz w:val="28"/>
          <w:b/>
        </w:rPr>
        <w:t>10、合同管理安排</w:t>
      </w:r>
    </w:p>
    <w:p>
      <w:pPr>
        <w:pStyle w:val="null5"/>
        <w:ind w:firstLine="480"/>
        <w:jc w:val="left"/>
      </w:pPr>
      <w:r>
        <w:rPr>
          <w:rFonts w:ascii="仿宋_GB2312" w:hAnsi="仿宋_GB2312" w:cs="仿宋_GB2312" w:eastAsia="仿宋_GB2312"/>
        </w:rPr>
        <w:t>1）合同类型：</w:t>
      </w:r>
    </w:p>
    <w:p>
      <w:pPr>
        <w:pStyle w:val="null5"/>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建设工程合同</w:t>
      </w:r>
    </w:p>
    <w:p>
      <w:pPr>
        <w:pStyle w:val="null5"/>
        <w:ind w:firstLine="480"/>
        <w:jc w:val="left"/>
      </w:pPr>
      <w:r>
        <w:rPr>
          <w:rFonts w:ascii="仿宋_GB2312" w:hAnsi="仿宋_GB2312" w:cs="仿宋_GB2312" w:eastAsia="仿宋_GB2312"/>
        </w:rPr>
        <w:t>2）合同履行期限：</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35日历日，以合同签订工期要求及采购人通知开竣工日期为准</w:t>
      </w:r>
    </w:p>
    <w:p>
      <w:pPr>
        <w:pStyle w:val="null5"/>
        <w:ind w:firstLine="480"/>
        <w:jc w:val="left"/>
      </w:pPr>
      <w:r>
        <w:rPr>
          <w:rFonts w:ascii="仿宋_GB2312" w:hAnsi="仿宋_GB2312" w:cs="仿宋_GB2312" w:eastAsia="仿宋_GB2312"/>
        </w:rPr>
        <w:t>3）合同履约地点：</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山东第一医科大学济南校区</w:t>
      </w:r>
    </w:p>
    <w:p>
      <w:pPr>
        <w:pStyle w:val="null5"/>
        <w:ind w:firstLine="480"/>
        <w:jc w:val="left"/>
      </w:pPr>
      <w:r>
        <w:rPr>
          <w:rFonts w:ascii="仿宋_GB2312" w:hAnsi="仿宋_GB2312" w:cs="仿宋_GB2312" w:eastAsia="仿宋_GB2312"/>
        </w:rPr>
        <w:t>4）履约保证金及缴纳形式：</w:t>
      </w:r>
    </w:p>
    <w:p>
      <w:pPr>
        <w:pStyle w:val="null5"/>
        <w:ind w:firstLine="480"/>
        <w:jc w:val="left"/>
      </w:pPr>
      <w:r>
        <w:rPr>
          <w:rFonts w:ascii="仿宋_GB2312" w:hAnsi="仿宋_GB2312" w:cs="仿宋_GB2312" w:eastAsia="仿宋_GB2312"/>
        </w:rPr>
        <w:t>采购包1：缴纳</w:t>
      </w:r>
    </w:p>
    <w:p>
      <w:pPr>
        <w:pStyle w:val="null5"/>
        <w:jc w:val="left"/>
      </w:pPr>
      <w:r>
        <w:rPr>
          <w:rFonts w:ascii="仿宋_GB2312" w:hAnsi="仿宋_GB2312" w:cs="仿宋_GB2312" w:eastAsia="仿宋_GB2312"/>
        </w:rPr>
        <w:t>本采购包履约保证金为合同金额的2%</w:t>
      </w:r>
    </w:p>
    <w:p>
      <w:pPr>
        <w:pStyle w:val="null5"/>
        <w:jc w:val="left"/>
      </w:pPr>
      <w:r>
        <w:rPr>
          <w:rFonts w:ascii="仿宋_GB2312" w:hAnsi="仿宋_GB2312" w:cs="仿宋_GB2312" w:eastAsia="仿宋_GB2312"/>
        </w:rPr>
        <w:t>说明：缴纳时间：自成交公告发布之日起3个工作日内成交供应商向采购人指定账户 缴纳履约保证金。形式：银行本票、银行汇票、电汇(含网银转账)等非现金形式（供应商应在响应文件中明确具体缴纳形式）。期限：自本工程合同生效之日起至本工程质量保证金预留之日止。退还时间：整体工程竣工验收合格后，工程施工过程中未出现重大质量问题、安全问题、严重拖欠农民工工资等情况的，甲方将履约保证金（扣除各种违约金后）五个工作日内无息退还乙方，退还方式按其原缴纳方式退还。</w:t>
      </w:r>
    </w:p>
    <w:p>
      <w:pPr>
        <w:pStyle w:val="null5"/>
        <w:ind w:firstLine="480"/>
        <w:jc w:val="left"/>
      </w:pPr>
      <w:r>
        <w:rPr>
          <w:rFonts w:ascii="仿宋_GB2312" w:hAnsi="仿宋_GB2312" w:cs="仿宋_GB2312" w:eastAsia="仿宋_GB2312"/>
        </w:rPr>
        <w:t>5）质量保证金及缴纳形式：</w:t>
      </w:r>
    </w:p>
    <w:p>
      <w:pPr>
        <w:pStyle w:val="null5"/>
        <w:ind w:firstLine="480"/>
        <w:jc w:val="left"/>
      </w:pPr>
      <w:r>
        <w:rPr>
          <w:rFonts w:ascii="仿宋_GB2312" w:hAnsi="仿宋_GB2312" w:cs="仿宋_GB2312" w:eastAsia="仿宋_GB2312"/>
        </w:rPr>
        <w:t>采购包1：</w:t>
      </w:r>
    </w:p>
    <w:p>
      <w:pPr>
        <w:pStyle w:val="null5"/>
        <w:ind w:firstLine="1200"/>
        <w:jc w:val="left"/>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5"/>
        <w:ind w:firstLine="480"/>
        <w:jc w:val="left"/>
      </w:pPr>
      <w:r>
        <w:rPr>
          <w:rFonts w:ascii="仿宋_GB2312" w:hAnsi="仿宋_GB2312" w:cs="仿宋_GB2312" w:eastAsia="仿宋_GB2312"/>
        </w:rPr>
        <w:t>6）支付方式：</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分期付款</w:t>
      </w:r>
    </w:p>
    <w:p>
      <w:pPr>
        <w:pStyle w:val="null5"/>
        <w:ind w:firstLine="480"/>
        <w:jc w:val="left"/>
      </w:pPr>
      <w:r>
        <w:rPr>
          <w:rFonts w:ascii="仿宋_GB2312" w:hAnsi="仿宋_GB2312" w:cs="仿宋_GB2312" w:eastAsia="仿宋_GB2312"/>
        </w:rPr>
        <w:t>7）合同支付约定：</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本项目在合同签订生效目具备实施条件后乙方向项目负责人或指定人申请合同金额30%的预付款，甲方确定后7个工作日内支 付。工程竣工验收合格、审计定案完成后7个工作日内，付至审计定案值的100%。</w:t>
      </w:r>
    </w:p>
    <w:p>
      <w:pPr>
        <w:pStyle w:val="null5"/>
        <w:ind w:firstLine="480"/>
        <w:jc w:val="left"/>
      </w:pPr>
      <w:r>
        <w:rPr>
          <w:rFonts w:ascii="仿宋_GB2312" w:hAnsi="仿宋_GB2312" w:cs="仿宋_GB2312" w:eastAsia="仿宋_GB2312"/>
        </w:rPr>
        <w:t>8）验收交付标准和方法：</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符合国家相关标准、行业标准、地方标准或者其他标准、规范国家相关标准，采购项目与采购文件、响应文件和采购合同内容一致，商务履约内容、技术履约内容全部达标。</w:t>
      </w:r>
    </w:p>
    <w:p>
      <w:pPr>
        <w:pStyle w:val="null5"/>
        <w:ind w:firstLine="480"/>
        <w:jc w:val="left"/>
      </w:pPr>
      <w:r>
        <w:rPr>
          <w:rFonts w:ascii="仿宋_GB2312" w:hAnsi="仿宋_GB2312" w:cs="仿宋_GB2312" w:eastAsia="仿宋_GB2312"/>
        </w:rPr>
        <w:t>9）质量保修范围和保修期：</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养护期:2年(自工程竣工验收合格之日起计算)。养护范围：本项目工程量清单及图纸范围内。在养护期内，除采购人或使用方人为因素损坏外，工程出现的任何质量问题全部由供应商免费维修养护；死亡苗木由供应商无偿补植同规格、同质量的苗木，补植苗木的养护期自补植成活之日起重新计算。</w:t>
      </w:r>
    </w:p>
    <w:p>
      <w:pPr>
        <w:pStyle w:val="null5"/>
        <w:ind w:firstLine="480"/>
        <w:jc w:val="left"/>
      </w:pPr>
      <w:r>
        <w:rPr>
          <w:rFonts w:ascii="仿宋_GB2312" w:hAnsi="仿宋_GB2312" w:cs="仿宋_GB2312" w:eastAsia="仿宋_GB2312"/>
        </w:rPr>
        <w:t>10）知识产权归属和处理方式：</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一、供应商应保证在本项目中使用的任何技术、产品和服务（包括部分使用），不会产生因第三方提出侵犯其专利权、商标权或其他知识产权而引起的法律和经济纠纷， 如存在前述情形， 由供应商承担所有相关责任，并且赔偿由此给采购人带来的损失。采购人享有本项目实施过程中产生的知识成果及知识产权。 二、供应商将在采购项目实施过程中采用自有或者第三方知识成果的， 使用该知识成果后，供应商需提供开发接口和开发手册等技术资料，并承诺提供无限期支持， 采购人享有使用权（含采购人委托第三方在该项目后续开发的使用权）。 三、如使用供应商所不拥有的知识产权，则在报价中必须包括合法使用该知识产权的相关费用。</w:t>
      </w:r>
    </w:p>
    <w:p>
      <w:pPr>
        <w:pStyle w:val="null5"/>
        <w:ind w:firstLine="480"/>
        <w:jc w:val="left"/>
      </w:pPr>
      <w:r>
        <w:rPr>
          <w:rFonts w:ascii="仿宋_GB2312" w:hAnsi="仿宋_GB2312" w:cs="仿宋_GB2312" w:eastAsia="仿宋_GB2312"/>
        </w:rPr>
        <w:t>11）成本补偿和风险分担约定：</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无</w:t>
      </w:r>
    </w:p>
    <w:p>
      <w:pPr>
        <w:pStyle w:val="null5"/>
        <w:ind w:firstLine="480"/>
        <w:jc w:val="left"/>
      </w:pPr>
      <w:r>
        <w:rPr>
          <w:rFonts w:ascii="仿宋_GB2312" w:hAnsi="仿宋_GB2312" w:cs="仿宋_GB2312" w:eastAsia="仿宋_GB2312"/>
        </w:rPr>
        <w:t>12）违约责任与解决争议的方法：</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一、采购人与成交供应商应当根据合同的约定依法履行合同义务。二、政府采购合同的履行、违约责任和解决争议的方法等适用 《中华人民共和国民法典》。</w:t>
      </w:r>
    </w:p>
    <w:p>
      <w:pPr>
        <w:pStyle w:val="null5"/>
        <w:ind w:firstLine="480"/>
        <w:jc w:val="left"/>
      </w:pPr>
      <w:r>
        <w:rPr>
          <w:rFonts w:ascii="仿宋_GB2312" w:hAnsi="仿宋_GB2312" w:cs="仿宋_GB2312" w:eastAsia="仿宋_GB2312"/>
        </w:rPr>
        <w:t>13）合同其他条款：</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详见附件</w:t>
      </w:r>
    </w:p>
    <w:p>
      <w:pPr>
        <w:pStyle w:val="null5"/>
        <w:ind w:firstLine="480"/>
        <w:jc w:val="left"/>
        <w:outlineLvl w:val="2"/>
      </w:pPr>
      <w:r>
        <w:rPr>
          <w:rFonts w:ascii="仿宋_GB2312" w:hAnsi="仿宋_GB2312" w:cs="仿宋_GB2312" w:eastAsia="仿宋_GB2312"/>
          <w:sz w:val="28"/>
          <w:b/>
        </w:rPr>
        <w:t>11、履约验收方案</w:t>
      </w:r>
    </w:p>
    <w:p>
      <w:pPr>
        <w:pStyle w:val="null5"/>
        <w:ind w:firstLine="480"/>
        <w:jc w:val="left"/>
      </w:pPr>
      <w:r>
        <w:rPr>
          <w:rFonts w:ascii="仿宋_GB2312" w:hAnsi="仿宋_GB2312" w:cs="仿宋_GB2312" w:eastAsia="仿宋_GB2312"/>
        </w:rPr>
        <w:t>1）验收组织方式：</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自行验收</w:t>
      </w:r>
    </w:p>
    <w:p>
      <w:pPr>
        <w:pStyle w:val="null5"/>
        <w:ind w:firstLine="480"/>
        <w:jc w:val="left"/>
      </w:pPr>
      <w:r>
        <w:rPr>
          <w:rFonts w:ascii="仿宋_GB2312" w:hAnsi="仿宋_GB2312" w:cs="仿宋_GB2312" w:eastAsia="仿宋_GB2312"/>
        </w:rPr>
        <w:t>2）履约验收程序</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一次性验收</w:t>
      </w:r>
    </w:p>
    <w:p>
      <w:pPr>
        <w:pStyle w:val="null5"/>
        <w:ind w:firstLine="480"/>
        <w:jc w:val="left"/>
      </w:pPr>
      <w:r>
        <w:rPr>
          <w:rFonts w:ascii="仿宋_GB2312" w:hAnsi="仿宋_GB2312" w:cs="仿宋_GB2312" w:eastAsia="仿宋_GB2312"/>
        </w:rPr>
        <w:t>3）履约验收时间：</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验收条件说明： 完成磋商文件、响应文件及工程量清单的全部内容 ， 达到验收条件起 30 日内， 验收合同总金额的 100%；</w:t>
      </w:r>
    </w:p>
    <w:p>
      <w:pPr>
        <w:pStyle w:val="null5"/>
        <w:ind w:firstLine="480"/>
        <w:jc w:val="left"/>
      </w:pPr>
      <w:r>
        <w:rPr>
          <w:rFonts w:ascii="仿宋_GB2312" w:hAnsi="仿宋_GB2312" w:cs="仿宋_GB2312" w:eastAsia="仿宋_GB2312"/>
        </w:rPr>
        <w:t>4）验收组织的其他事项：</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按采购人要求</w:t>
      </w:r>
    </w:p>
    <w:p>
      <w:pPr>
        <w:pStyle w:val="null5"/>
        <w:ind w:firstLine="480"/>
        <w:jc w:val="left"/>
      </w:pPr>
      <w:r>
        <w:rPr>
          <w:rFonts w:ascii="仿宋_GB2312" w:hAnsi="仿宋_GB2312" w:cs="仿宋_GB2312" w:eastAsia="仿宋_GB2312"/>
        </w:rPr>
        <w:t>5）技术履约验收内容：</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依据采购文件、工程量清单、响应文件、合同进行验收。</w:t>
      </w:r>
    </w:p>
    <w:p>
      <w:pPr>
        <w:pStyle w:val="null5"/>
        <w:ind w:firstLine="480"/>
        <w:jc w:val="left"/>
      </w:pPr>
      <w:r>
        <w:rPr>
          <w:rFonts w:ascii="仿宋_GB2312" w:hAnsi="仿宋_GB2312" w:cs="仿宋_GB2312" w:eastAsia="仿宋_GB2312"/>
        </w:rPr>
        <w:t>6）商务履约验收内容：</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依据采购文件、工程量清单、响应文件、合同进行验收。</w:t>
      </w:r>
    </w:p>
    <w:p>
      <w:pPr>
        <w:pStyle w:val="null5"/>
        <w:ind w:firstLine="480"/>
        <w:jc w:val="left"/>
      </w:pPr>
      <w:r>
        <w:rPr>
          <w:rFonts w:ascii="仿宋_GB2312" w:hAnsi="仿宋_GB2312" w:cs="仿宋_GB2312" w:eastAsia="仿宋_GB2312"/>
        </w:rPr>
        <w:t>7）履约验收标准：</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符合国家相关标准、行业标准、地方标准或者其他标准、规范国家相关标准，采购项目与采购文件、响应文件和采购合同内 容的一致，商务履约内容、技术履约内容全部达标。</w:t>
      </w:r>
    </w:p>
    <w:p>
      <w:pPr>
        <w:pStyle w:val="null5"/>
        <w:ind w:firstLine="480"/>
        <w:jc w:val="left"/>
      </w:pPr>
      <w:r>
        <w:rPr>
          <w:rFonts w:ascii="仿宋_GB2312" w:hAnsi="仿宋_GB2312" w:cs="仿宋_GB2312" w:eastAsia="仿宋_GB2312"/>
        </w:rPr>
        <w:t>8）履约验收其他事项：</w:t>
      </w:r>
    </w:p>
    <w:p>
      <w:pPr>
        <w:pStyle w:val="null5"/>
        <w:ind w:firstLine="480"/>
        <w:jc w:val="left"/>
      </w:pPr>
      <w:r>
        <w:rPr>
          <w:rFonts w:ascii="仿宋_GB2312" w:hAnsi="仿宋_GB2312" w:cs="仿宋_GB2312" w:eastAsia="仿宋_GB2312"/>
        </w:rPr>
        <w:t>采购包1：</w:t>
      </w:r>
    </w:p>
    <w:p>
      <w:pPr>
        <w:pStyle w:val="null5"/>
        <w:jc w:val="left"/>
      </w:pPr>
      <w:r>
        <w:rPr>
          <w:rFonts w:ascii="仿宋_GB2312" w:hAnsi="仿宋_GB2312" w:cs="仿宋_GB2312" w:eastAsia="仿宋_GB2312"/>
        </w:rPr>
        <w:t>按采购人要求 1.交付竣工验收的工程， 必须符合规定的工程质量标准，具有完整的工程技术经济资料和经签署的工程保修书，并具备国家规定的其他竣工条件。工程竣工经验收合格后，方可交付使用；未经验收或者验收不合格的，不得交付使用。2.验收结果合格的，采购人应向成交供应商出具履约验收报告，成交供应商凭验收报告办理相关手续。3.验收结果不合格的，履约保证金将不予退还，给采购人造成的损失超过履约保证金数额的，还应当对超过部分予以赔偿；没有提交履约保证金的， 应当对采购人的损失承担赔偿责任。</w:t>
      </w:r>
    </w:p>
    <w:p>
      <w:pPr>
        <w:pStyle w:val="null5"/>
        <w:ind w:firstLine="480"/>
        <w:jc w:val="left"/>
        <w:outlineLvl w:val="2"/>
      </w:pPr>
      <w:r>
        <w:rPr>
          <w:rFonts w:ascii="仿宋_GB2312" w:hAnsi="仿宋_GB2312" w:cs="仿宋_GB2312" w:eastAsia="仿宋_GB2312"/>
          <w:sz w:val="28"/>
          <w:b/>
        </w:rPr>
        <w:t>12、采购项目的评审要求</w:t>
      </w:r>
    </w:p>
    <w:p>
      <w:pPr>
        <w:pStyle w:val="null5"/>
        <w:ind w:firstLine="480"/>
        <w:jc w:val="left"/>
      </w:pPr>
      <w:r>
        <w:rPr>
          <w:rFonts w:ascii="仿宋_GB2312" w:hAnsi="仿宋_GB2312" w:cs="仿宋_GB2312" w:eastAsia="仿宋_GB2312"/>
        </w:rPr>
        <w:t>1）中标（成交）供应商确定方式</w:t>
      </w:r>
    </w:p>
    <w:p>
      <w:pPr>
        <w:pStyle w:val="null5"/>
        <w:ind w:firstLine="480"/>
        <w:jc w:val="left"/>
      </w:pPr>
      <w:r>
        <w:rPr>
          <w:rFonts w:ascii="仿宋_GB2312" w:hAnsi="仿宋_GB2312" w:cs="仿宋_GB2312" w:eastAsia="仿宋_GB2312"/>
        </w:rPr>
        <w:t>采购单位授权评标委员会按照采购文件规定的方式确定中标（成交）供应商。</w:t>
      </w:r>
    </w:p>
    <w:p>
      <w:pPr>
        <w:pStyle w:val="null5"/>
        <w:ind w:firstLine="480"/>
        <w:jc w:val="left"/>
      </w:pPr>
      <w:r>
        <w:rPr>
          <w:rFonts w:ascii="仿宋_GB2312" w:hAnsi="仿宋_GB2312" w:cs="仿宋_GB2312" w:eastAsia="仿宋_GB2312"/>
        </w:rPr>
        <w:t>2）现场踏勘</w:t>
      </w:r>
    </w:p>
    <w:p>
      <w:pPr>
        <w:pStyle w:val="null5"/>
        <w:ind w:firstLine="480"/>
        <w:jc w:val="left"/>
      </w:pPr>
      <w:r>
        <w:rPr>
          <w:rFonts w:ascii="仿宋_GB2312" w:hAnsi="仿宋_GB2312" w:cs="仿宋_GB2312" w:eastAsia="仿宋_GB2312"/>
        </w:rPr>
        <w:t>采购包1：组织现场踏勘：否</w:t>
      </w:r>
    </w:p>
    <w:p>
      <w:pPr>
        <w:pStyle w:val="null5"/>
        <w:ind w:firstLine="480"/>
        <w:jc w:val="left"/>
      </w:pPr>
      <w:r>
        <w:rPr>
          <w:rFonts w:ascii="仿宋_GB2312" w:hAnsi="仿宋_GB2312" w:cs="仿宋_GB2312" w:eastAsia="仿宋_GB2312"/>
        </w:rPr>
        <w:t>3）项目兼投兼中规则</w:t>
      </w:r>
    </w:p>
    <w:p>
      <w:pPr>
        <w:pStyle w:val="null5"/>
        <w:ind w:firstLine="480"/>
        <w:jc w:val="left"/>
      </w:pPr>
      <w:r>
        <w:rPr>
          <w:rFonts w:ascii="仿宋_GB2312" w:hAnsi="仿宋_GB2312" w:cs="仿宋_GB2312" w:eastAsia="仿宋_GB2312"/>
        </w:rPr>
        <w:t>无</w:t>
      </w:r>
    </w:p>
    <w:p>
      <w:pPr>
        <w:pStyle w:val="null5"/>
        <w:jc w:val="left"/>
        <w:outlineLvl w:val="1"/>
      </w:pPr>
      <w:r>
        <w:rPr>
          <w:rFonts w:ascii="仿宋_GB2312" w:hAnsi="仿宋_GB2312" w:cs="仿宋_GB2312" w:eastAsia="仿宋_GB2312"/>
          <w:sz w:val="36"/>
          <w:b/>
        </w:rPr>
        <w:t>五、风险控制措施和替代方案</w:t>
      </w:r>
    </w:p>
    <w:p>
      <w:pPr>
        <w:pStyle w:val="null5"/>
        <w:ind w:firstLine="480"/>
        <w:jc w:val="left"/>
      </w:pPr>
      <w:r>
        <w:rPr>
          <w:rFonts w:ascii="仿宋_GB2312" w:hAnsi="仿宋_GB2312" w:cs="仿宋_GB2312" w:eastAsia="仿宋_GB2312"/>
        </w:rPr>
        <w:t xml:space="preserve">该采购项目按照《政府采购需求管理办法》第二十五条规定，本项目 </w:t>
      </w:r>
      <w:r>
        <w:rPr>
          <w:rFonts w:ascii="仿宋_GB2312" w:hAnsi="仿宋_GB2312" w:cs="仿宋_GB2312" w:eastAsia="仿宋_GB2312"/>
        </w:rPr>
        <w:t>否</w:t>
      </w:r>
      <w:r>
        <w:rPr>
          <w:rFonts w:ascii="仿宋_GB2312" w:hAnsi="仿宋_GB2312" w:cs="仿宋_GB2312" w:eastAsia="仿宋_GB2312"/>
        </w:rPr>
        <w:t xml:space="preserve"> 需要组织风险判断、提出处置措施和替代方案。</w:t>
      </w:r>
    </w:p>
    <w:p>
      <w:pPr>
        <w:pStyle w:val="null5"/>
        <w:jc w:val="left"/>
      </w:pPr>
    </w:p>
    <w:p>
      <w:pPr>
        <w:pStyle w:val="null5"/>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textAlignment w:val="auto"/>
        <w:rPr>
          <w:rFonts w:hint="default" w:eastAsiaTheme="minorEastAsia"/>
          <w:lang w:val="en-US" w:eastAsia="zh-CN"/>
        </w:rPr>
      </w:pPr>
      <w:r>
        <w:rPr>
          <w:rFonts w:hint="eastAsia"/>
          <w:lang w:val="en-US" w:eastAsia="zh-CN"/>
        </w:rPr>
        <w:t/>
      </w:r>
      <w:bookmarkStart w:id="0" w:name="_GoBack"/>
      <w:bookmarkEnd w:id="0"/>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 SwMEFAAAAAgAh07iQLNJWO7QAAAABQEAAA8AAABkcnMvZG93bnJldi54bWxNj0FLw0AQhe+C/2EZ oTe7aSsSYjYFS9OjYOPB4zY7JtHd2bC7TeO/dxRBL8M83vDme+V2dlZMGOLgScFqmYFAar0ZqFPw 0tS3OYiYNBltPaGCT4ywra6vSl0Yf6FnnI6pExxCsdAK+pTGQsrY9uh0XPoRib03H5xOLEMnTdAX DndWrrPsXjo9EH/o9Yi7HtuP49kp2NVNEyaMwb7iod68Pz3e4X5WanGzyh5AJJzT3zF84zM6VMx0 8mcyUVgFXCT9TPbWec7y9LvIqpT/6asvUEsDBBQAAAAIAIdO4kBrhfn7MQIAAGEEAAAOAAAAZHJz L2Uyb0RvYy54bWytVM2O0zAQviPxDpbvNGkRqypquipbFSFV7EoFcXYdp4nkP9luk/IA8AacuHDn ufocfM5PFy0c9sDFGXvG38z3zTiL21ZJchLO10bndDpJKRGam6LWh5x++rh5NafEB6YLJo0WOT0L T2+XL18sGpuJmamMLIQjANE+a2xOqxBsliSeV0IxPzFWaDhL4xQL2LpDUjjWAF3JZJamN0ljXGGd 4cJ7nK57Jx0Q3XMATVnWXKwNPyqhQ4/qhGQBlHxVW0+XXbVlKXi4L0svApE5BdPQrUgCex/XZLlg 2cExW9V8KIE9p4QnnBSrNZJeodYsMHJ09V9QqubOeFOGCTcq6Yl0ioDFNH2iza5iVnRcILW3V9H9 /4PlH04PjtQFJoESzRQafvn+7fLj1+XnVzKN8jTWZ4jaWcSF9q1pY+hw7nEYWbelU/ELPgR+iHu+ iivaQHi8NJ/N5ylcHL5xA5zk8bp1PrwTRpFo5NShe52o7LT1oQ8dQ2I2bTa1lDhnmdSkyenN6zdp d+HqAbjUyBFJ9MVGK7T7dmCwN8UZxJzpJ8NbvqmRfMt8eGAOo4CC8VjCPZZSGiQxg0VJZdyXf53H eHQIXkoajFZONV4SJfK9RucAGEbDjcZ+NPRR3RnMKrqBWjoTF1yQo1k6oz7jBa1iDriY5siU0zCa d6Efb7xALlarLuhoXX2o+guYO8vCVu8sj2miet6ujgFidhpHgXpVBt0weV2XhlcSR/vPfRf1+GdY /gZQSwMECgAAAAAAh07iQAAAAAAAAAAAAAAAAAYAAABfcmVscy9QSwMEFAAAAAgAh07iQIoUZjzR AAAAlAEAAAsAAABfcmVscy8ucmVsc6WQwWrDMAyG74O9g9F9cZrDGKNOL6PQa+kewNiKYxpbRjLZ +vbzDoNl9LajfqHvE//+8JkWtSJLpGxg1/WgMDvyMQcD75fj0wsoqTZ7u1BGAzcUOIyPD/szLra2 I5ljEdUoWQzMtZZXrcXNmKx0VDC3zUScbG0jB12su9qAeuj7Z82/GTBumOrkDfDJD6Aut9LMf9gp OiahqXaOkqZpiu4eVQe2ZY7uyDbhG7lGsxywGvAsGgdqWdd+BH1fv/un3tNHPuO61X6HjOuPV2+6 HL8AUEsDBBQAAAAIAIdO4kB+5uUg9wAAAOEBAAATAAAAW0NvbnRlbnRfVHlwZXNdLnhtbJWRQU7D MBBF90jcwfIWJU67QAgl6YK0S0CoHGBkTxKLZGx5TGhvj5O2G0SRWNoz/78nu9wcxkFMGNg6quQq L6RA0s5Y6ir5vt9lD1JwBDIwOMJKHpHlpr69KfdHjyxSmriSfYz+USnWPY7AufNIadK6MEJMx9Ap D/oDOlTrorhX2lFEilmcO2RdNtjC5xDF9pCuTyYBB5bi6bQ4syoJ3g9WQ0ymaiLzg5KdCXlKLjvc W893SUOqXwnz5DrgnHtJTxOsQfEKIT7DmDSUCayM+6KAU/53yWw5cuba1mrMm8BNir3hdLG61o5r 1zj93/Ltkrp0q+WD6m9QSwECFAAUAAAACACHTuJAfublIPcAAADhAQAAEwAAAAAAAAABACAAAACw BAAAW0NvbnRlbnRfVHlwZXNdLnhtbFBLAQIUAAoAAAAAAIdO4kAAAAAAAAAAAAAAAAAGAAAAAAAA AAAAEAAAAJIDAABfcmVscy9QSwECFAAUAAAACACHTuJAihRmPNEAAACUAQAACwAAAAAAAAABACAA AAC2AwAAX3JlbHMvLnJlbHNQSwECFAAKAAAAAACHTuJAAAAAAAAAAAAAAAAABAAAAAAAAAAAABAA AAAWAAAAZHJzL1BLAQIUABQAAAAIAIdO4kCzSVju0AAAAAUBAAAPAAAAAAAAAAEAIAAAADgAAABk cnMvZG93bnJldi54bWxQSwECFAAUAAAACACHTuJAa4X5+zECAABhBAAADgAAAAAAAAABACAAAAA1 AQAAZHJzL2Uyb0RvYy54bWxQSwUGAAAAAAYABgBZAQAA2AUAAAAA ">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EF35BB"/>
    <w:rsid w:val="3EFD3BF8"/>
    <w:rsid w:val="3FDD15CC"/>
    <w:rsid w:val="FDEF35BB"/>
    <w:rsid w:val="FEAD2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customStyle="true" w:type="paragraph" w:styleId="null5">
    <w:name w:val="null5"/>
    <w:hidden/>
    <w:rPr>
      <w:rFonts w:hint="eastAsia"/>
      <w:lang w:val="en-US" w:eastAsia="zh-CN"/>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header1.xml" Type="http://schemas.openxmlformats.org/officeDocument/2006/relationships/header"/><Relationship Id="rId4" Target="footer1.xml" Type="http://schemas.openxmlformats.org/officeDocument/2006/relationships/footer"/><Relationship Id="rId5" Target="theme/theme1.xml" Type="http://schemas.openxmlformats.org/officeDocument/2006/relationships/theme"/><Relationship Id="rId6" Target="../customXml/item1.xml" Type="http://schemas.openxmlformats.org/officeDocument/2006/relationships/customXml"/><Relationship Id="rId7" Target="fontTable.xml" Type="http://schemas.openxmlformats.org/officeDocument/2006/relationships/fontTable"/></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561</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2024-02-02T20:16:00Z</dcterms:created>
  <dc:creator>058只是想要五块钱</dc:creator>
  <cp:lastModifiedBy>林永帆</cp:lastModifiedBy>
  <dcterms:modified xsi:type="dcterms:W3CDTF">2024-12-17T18:11:30Z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5D8F1B188C3812D3868BBB65C95415BD_41</vt:lpwstr>
  </property>
</Properties>
</file>