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  <w:lang w:val="zh-CN"/>
        </w:rPr>
      </w:pPr>
      <w:bookmarkStart w:id="0" w:name="_Toc149201457"/>
      <w:r>
        <w:rPr>
          <w:rFonts w:hint="eastAsia"/>
          <w:sz w:val="28"/>
          <w:szCs w:val="28"/>
          <w:lang w:val="zh-CN"/>
        </w:rPr>
        <w:t>分项报价明细表</w:t>
      </w:r>
      <w:bookmarkEnd w:id="0"/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cs="仿宋"/>
          <w:sz w:val="24"/>
          <w:lang w:val="zh-CN"/>
        </w:rPr>
      </w:pPr>
      <w:r>
        <w:rPr>
          <w:rFonts w:ascii="宋体" w:hAnsi="宋体" w:cs="仿宋"/>
          <w:sz w:val="24"/>
          <w:lang w:val="zh-CN"/>
        </w:rPr>
        <w:t xml:space="preserve">          </w:t>
      </w:r>
      <w:r>
        <w:rPr>
          <w:rFonts w:hint="eastAsia" w:ascii="宋体" w:hAnsi="宋体" w:cs="仿宋"/>
          <w:sz w:val="24"/>
          <w:lang w:val="en-US" w:eastAsia="zh-CN"/>
        </w:rPr>
        <w:t xml:space="preserve">                                           </w:t>
      </w:r>
      <w:r>
        <w:rPr>
          <w:rFonts w:hint="eastAsia" w:ascii="宋体" w:hAnsi="宋体" w:cs="仿宋"/>
          <w:sz w:val="24"/>
          <w:lang w:val="zh-CN"/>
        </w:rPr>
        <w:t>单位：元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1195"/>
        <w:gridCol w:w="3521"/>
        <w:gridCol w:w="1103"/>
        <w:gridCol w:w="9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序号</w:t>
            </w:r>
          </w:p>
        </w:tc>
        <w:tc>
          <w:tcPr>
            <w:tcW w:w="1195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服务名称</w:t>
            </w:r>
          </w:p>
        </w:tc>
        <w:tc>
          <w:tcPr>
            <w:tcW w:w="3521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保修项目名称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单价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195" w:type="dxa"/>
            <w:vMerge w:val="restart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维保服务</w:t>
            </w: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激光共聚焦显微镜</w:t>
            </w:r>
          </w:p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（LSM880 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61500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共聚焦显微镜快速超高分辨率系统及活细胞工作站</w:t>
            </w:r>
          </w:p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（Airyscan Fast）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  <w:r>
              <w:rPr>
                <w:rFonts w:ascii="宋体" w:hAnsi="宋体"/>
                <w:sz w:val="24"/>
              </w:rPr>
              <w:t>1300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流式细胞分选系统（FACS AriaIII 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  <w:r>
              <w:rPr>
                <w:rFonts w:ascii="宋体" w:hAnsi="宋体"/>
                <w:sz w:val="24"/>
              </w:rPr>
              <w:t>0800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数字病理切片扫描仪（Pannoramic MIDI）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30700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共聚焦高内涵成像分析系统（ImageXpress Micro Confocal）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43200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微滴式数字PCR系统</w:t>
            </w:r>
          </w:p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（伯乐 QX200）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5800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细胞能量代谢分析系统（安捷伦 Seahorse XFe24）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8600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全自动组织芯片仪（3DHISTECH/TMA Master 01）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7300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" w:type="dxa"/>
            <w:shd w:val="clear" w:color="auto" w:fill="auto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9</w:t>
            </w:r>
          </w:p>
        </w:tc>
        <w:tc>
          <w:tcPr>
            <w:tcW w:w="1195" w:type="dxa"/>
            <w:vMerge w:val="continue"/>
            <w:shd w:val="clear" w:color="auto" w:fill="auto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521" w:type="dxa"/>
            <w:shd w:val="clear" w:color="auto" w:fill="auto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公共科研平台所有基础设备维保服务（耗材除外）</w:t>
            </w:r>
          </w:p>
        </w:tc>
        <w:tc>
          <w:tcPr>
            <w:tcW w:w="1103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  <w:r>
              <w:rPr>
                <w:rFonts w:ascii="宋体" w:hAnsi="宋体"/>
                <w:sz w:val="24"/>
              </w:rPr>
              <w:t>7700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1批</w:t>
            </w:r>
          </w:p>
        </w:tc>
      </w:tr>
    </w:tbl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19925"/>
            <wp:effectExtent l="0" t="0" r="3810" b="3175"/>
            <wp:docPr id="1" name="图片 1" descr="9a7fd51fc57ed1842dd4d8747fc5c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a7fd51fc57ed1842dd4d8747fc5c4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ZmNzc0YTA2MDQ4OWQyOTI3ZDhhZmE1YmZlZmEyNjUifQ=="/>
  </w:docVars>
  <w:rsids>
    <w:rsidRoot w:val="00000000"/>
    <w:rsid w:val="459B4E47"/>
    <w:rsid w:val="7E30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2023-10-29T01:13:00Z</dcterms:created>
  <dc:creator>CNSHZB</dc:creator>
  <cp:lastModifiedBy>.</cp:lastModifiedBy>
  <dcterms:modified xsi:type="dcterms:W3CDTF">2023-10-29T03:39:00Z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34540C3F8FD04D0BA272B0B3171F82B3_12</vt:lpwstr>
  </property>
</Properties>
</file>