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480"/>
        <w:rPr>
          <w:rFonts w:hint="eastAsia" w:ascii="仿宋" w:hAnsi="仿宋" w:eastAsia="仿宋" w:cs="仿宋"/>
        </w:rPr>
      </w:pPr>
    </w:p>
    <w:p>
      <w:pPr>
        <w:spacing w:line="360" w:lineRule="auto"/>
        <w:ind w:firstLine="480"/>
        <w:jc w:val="right"/>
        <w:rPr>
          <w:rFonts w:hint="eastAsia" w:ascii="仿宋" w:hAnsi="仿宋" w:eastAsia="仿宋" w:cs="仿宋"/>
        </w:rPr>
      </w:pPr>
      <w:r>
        <w:rPr>
          <w:rFonts w:hint="eastAsia" w:ascii="仿宋" w:hAnsi="仿宋" w:eastAsia="仿宋" w:cs="仿宋"/>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spacing w:line="360" w:lineRule="auto"/>
        <w:ind w:firstLine="480"/>
        <w:rPr>
          <w:rFonts w:hint="eastAsia" w:ascii="仿宋" w:hAnsi="仿宋" w:eastAsia="仿宋" w:cs="仿宋"/>
        </w:rPr>
      </w:pPr>
    </w:p>
    <w:p>
      <w:pPr>
        <w:spacing w:line="360" w:lineRule="auto"/>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山东第一医科大学（山东省医学科学院）双高建设中西医结合特色学科专用设备购置竞争性磋商文件</w:t>
      </w:r>
    </w:p>
    <w:p>
      <w:pPr>
        <w:spacing w:line="360" w:lineRule="auto"/>
        <w:ind w:left="0" w:leftChars="0" w:firstLine="0" w:firstLineChars="0"/>
        <w:rPr>
          <w:rFonts w:hint="eastAsia" w:ascii="仿宋" w:hAnsi="仿宋" w:eastAsia="仿宋" w:cs="仿宋"/>
        </w:rPr>
      </w:pPr>
    </w:p>
    <w:p>
      <w:pPr>
        <w:spacing w:line="360" w:lineRule="auto"/>
        <w:ind w:firstLine="199" w:firstLineChars="55"/>
        <w:jc w:val="center"/>
        <w:rPr>
          <w:rFonts w:hint="eastAsia" w:ascii="仿宋" w:hAnsi="仿宋" w:eastAsia="仿宋" w:cs="仿宋"/>
          <w:b/>
          <w:sz w:val="36"/>
          <w:szCs w:val="36"/>
        </w:rPr>
      </w:pPr>
      <w:r>
        <w:rPr>
          <w:rFonts w:hint="eastAsia" w:ascii="仿宋" w:hAnsi="仿宋" w:eastAsia="仿宋" w:cs="仿宋"/>
          <w:b/>
          <w:sz w:val="36"/>
          <w:szCs w:val="36"/>
        </w:rPr>
        <w:t>项目编号：SDGP370000000202302003975</w:t>
      </w:r>
    </w:p>
    <w:p>
      <w:pPr>
        <w:spacing w:line="360" w:lineRule="auto"/>
        <w:ind w:firstLine="199" w:firstLineChars="55"/>
        <w:jc w:val="center"/>
        <w:rPr>
          <w:rFonts w:hint="default" w:ascii="仿宋" w:hAnsi="仿宋" w:eastAsia="仿宋" w:cs="仿宋"/>
          <w:b/>
          <w:sz w:val="36"/>
          <w:szCs w:val="36"/>
          <w:u w:val="single"/>
          <w:lang w:val="en-US" w:eastAsia="zh-CN"/>
        </w:rPr>
      </w:pPr>
      <w:r>
        <w:rPr>
          <w:rFonts w:hint="eastAsia" w:ascii="仿宋" w:hAnsi="仿宋" w:eastAsia="仿宋" w:cs="仿宋"/>
          <w:b/>
          <w:sz w:val="36"/>
          <w:szCs w:val="36"/>
        </w:rPr>
        <w:t>/sdhryw2023106</w:t>
      </w:r>
    </w:p>
    <w:p>
      <w:pPr>
        <w:pStyle w:val="3"/>
        <w:spacing w:line="360" w:lineRule="auto"/>
        <w:ind w:left="0" w:leftChars="0" w:right="-42" w:firstLine="482"/>
        <w:rPr>
          <w:rFonts w:hint="eastAsia" w:ascii="仿宋" w:hAnsi="仿宋" w:eastAsia="仿宋" w:cs="仿宋"/>
          <w:b/>
          <w:bCs/>
          <w:sz w:val="24"/>
          <w:szCs w:val="24"/>
        </w:rPr>
      </w:pPr>
    </w:p>
    <w:p>
      <w:pPr>
        <w:spacing w:line="360" w:lineRule="auto"/>
        <w:ind w:firstLine="723"/>
        <w:jc w:val="center"/>
        <w:rPr>
          <w:rFonts w:hint="eastAsia" w:ascii="仿宋" w:hAnsi="仿宋" w:eastAsia="仿宋" w:cs="仿宋"/>
          <w:b/>
          <w:bCs/>
          <w:szCs w:val="24"/>
        </w:rPr>
      </w:pPr>
      <w:r>
        <w:rPr>
          <w:rFonts w:hint="eastAsia" w:ascii="仿宋" w:hAnsi="仿宋" w:eastAsia="仿宋" w:cs="仿宋"/>
          <w:b/>
          <w:bCs/>
          <w:sz w:val="36"/>
          <w:szCs w:val="36"/>
        </w:rPr>
        <w:t>（第二册 项目专用部分）</w:t>
      </w: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left="0" w:leftChars="0" w:firstLine="0" w:firstLineChars="0"/>
        <w:jc w:val="both"/>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482"/>
        <w:jc w:val="center"/>
        <w:rPr>
          <w:rFonts w:hint="eastAsia" w:ascii="仿宋" w:hAnsi="仿宋" w:eastAsia="仿宋" w:cs="仿宋"/>
          <w:b/>
          <w:bCs/>
          <w:szCs w:val="24"/>
        </w:rPr>
      </w:pPr>
    </w:p>
    <w:p>
      <w:pPr>
        <w:spacing w:line="360" w:lineRule="auto"/>
        <w:ind w:firstLine="0" w:firstLineChars="0"/>
        <w:rPr>
          <w:rFonts w:hint="eastAsia" w:ascii="仿宋" w:hAnsi="仿宋" w:eastAsia="仿宋" w:cs="仿宋"/>
          <w:b/>
          <w:sz w:val="36"/>
          <w:szCs w:val="36"/>
        </w:rPr>
      </w:pPr>
      <w:r>
        <w:rPr>
          <w:rFonts w:hint="eastAsia" w:ascii="仿宋" w:hAnsi="仿宋" w:eastAsia="仿宋" w:cs="仿宋"/>
          <w:b/>
          <w:bCs/>
          <w:szCs w:val="24"/>
        </w:rPr>
        <w:t xml:space="preserve">  </w:t>
      </w:r>
    </w:p>
    <w:p>
      <w:pPr>
        <w:spacing w:line="360" w:lineRule="auto"/>
        <w:ind w:left="1440" w:leftChars="600" w:firstLine="0" w:firstLineChars="0"/>
        <w:rPr>
          <w:rFonts w:hint="eastAsia" w:ascii="仿宋" w:hAnsi="仿宋" w:eastAsia="仿宋" w:cs="仿宋"/>
          <w:b/>
          <w:sz w:val="36"/>
          <w:szCs w:val="36"/>
          <w:lang w:eastAsia="zh-CN"/>
        </w:rPr>
      </w:pPr>
      <w:r>
        <w:rPr>
          <w:rFonts w:hint="eastAsia" w:ascii="仿宋" w:hAnsi="仿宋" w:eastAsia="仿宋" w:cs="仿宋"/>
          <w:b/>
          <w:sz w:val="36"/>
          <w:szCs w:val="36"/>
        </w:rPr>
        <w:t>采   购   人：</w:t>
      </w:r>
      <w:r>
        <w:rPr>
          <w:rFonts w:hint="eastAsia" w:ascii="仿宋" w:hAnsi="仿宋" w:cs="仿宋"/>
          <w:b/>
          <w:bCs/>
          <w:sz w:val="36"/>
          <w:szCs w:val="36"/>
          <w:u w:val="single"/>
          <w:lang w:eastAsia="zh-CN"/>
        </w:rPr>
        <w:t>山东第一医科大学（山东省医学科学院）</w:t>
      </w:r>
    </w:p>
    <w:p>
      <w:pPr>
        <w:spacing w:line="360" w:lineRule="auto"/>
        <w:ind w:firstLine="1446" w:firstLineChars="400"/>
        <w:rPr>
          <w:rFonts w:hint="eastAsia" w:ascii="仿宋" w:hAnsi="仿宋" w:eastAsia="仿宋" w:cs="仿宋"/>
          <w:b/>
          <w:sz w:val="36"/>
          <w:szCs w:val="36"/>
          <w:lang w:eastAsia="zh-CN"/>
        </w:rPr>
      </w:pPr>
      <w:r>
        <w:rPr>
          <w:rFonts w:hint="eastAsia" w:ascii="仿宋" w:hAnsi="仿宋" w:eastAsia="仿宋" w:cs="仿宋"/>
          <w:b/>
          <w:sz w:val="36"/>
          <w:szCs w:val="36"/>
        </w:rPr>
        <w:t>采购代理机构：</w:t>
      </w:r>
      <w:r>
        <w:rPr>
          <w:rFonts w:hint="eastAsia" w:ascii="仿宋" w:hAnsi="仿宋" w:eastAsia="仿宋" w:cs="仿宋"/>
          <w:b/>
          <w:sz w:val="36"/>
          <w:szCs w:val="36"/>
          <w:u w:val="single"/>
          <w:lang w:eastAsia="zh-CN"/>
        </w:rPr>
        <w:t>山东华仁永旺招标有限公司</w:t>
      </w:r>
    </w:p>
    <w:p>
      <w:pPr>
        <w:spacing w:line="360" w:lineRule="auto"/>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eastAsia="仿宋" w:cs="仿宋"/>
          <w:b/>
          <w:sz w:val="36"/>
          <w:szCs w:val="36"/>
        </w:rPr>
        <w:t>日        期：</w:t>
      </w:r>
      <w:r>
        <w:rPr>
          <w:rFonts w:hint="eastAsia" w:ascii="仿宋" w:hAnsi="仿宋" w:eastAsia="仿宋" w:cs="仿宋"/>
          <w:b/>
          <w:sz w:val="36"/>
          <w:szCs w:val="36"/>
          <w:u w:val="single"/>
        </w:rPr>
        <w:t>二〇二</w:t>
      </w:r>
      <w:r>
        <w:rPr>
          <w:rFonts w:hint="eastAsia" w:ascii="仿宋" w:hAnsi="仿宋" w:cs="仿宋"/>
          <w:b/>
          <w:sz w:val="36"/>
          <w:szCs w:val="36"/>
          <w:u w:val="single"/>
          <w:lang w:eastAsia="zh-CN"/>
        </w:rPr>
        <w:t>三</w:t>
      </w:r>
      <w:r>
        <w:rPr>
          <w:rFonts w:hint="eastAsia" w:ascii="仿宋" w:hAnsi="仿宋" w:eastAsia="仿宋" w:cs="仿宋"/>
          <w:b/>
          <w:sz w:val="36"/>
          <w:szCs w:val="36"/>
          <w:u w:val="single"/>
        </w:rPr>
        <w:t>年</w:t>
      </w:r>
      <w:r>
        <w:rPr>
          <w:rFonts w:hint="eastAsia" w:ascii="仿宋" w:hAnsi="仿宋" w:cs="仿宋"/>
          <w:b/>
          <w:sz w:val="36"/>
          <w:szCs w:val="36"/>
          <w:u w:val="single"/>
          <w:lang w:eastAsia="zh-CN"/>
        </w:rPr>
        <w:t>六</w:t>
      </w:r>
      <w:r>
        <w:rPr>
          <w:rFonts w:hint="eastAsia" w:ascii="仿宋" w:hAnsi="仿宋" w:eastAsia="仿宋" w:cs="仿宋"/>
          <w:b/>
          <w:sz w:val="36"/>
          <w:szCs w:val="36"/>
          <w:u w:val="single"/>
        </w:rPr>
        <w:t>月</w:t>
      </w:r>
    </w:p>
    <w:p>
      <w:pPr>
        <w:pStyle w:val="30"/>
        <w:spacing w:line="360" w:lineRule="auto"/>
        <w:ind w:firstLine="0" w:firstLineChars="0"/>
        <w:jc w:val="center"/>
        <w:rPr>
          <w:rFonts w:ascii="Times New Roman" w:hAnsi="Times New Roman"/>
          <w:b/>
          <w:sz w:val="32"/>
          <w:szCs w:val="32"/>
        </w:rPr>
      </w:pPr>
      <w:r>
        <w:rPr>
          <w:rFonts w:ascii="Times New Roman" w:hAnsi="Times New Roman"/>
          <w:b/>
          <w:sz w:val="32"/>
          <w:szCs w:val="32"/>
        </w:rPr>
        <w:t>目  录</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第一册  通用部分</w:t>
      </w:r>
    </w:p>
    <w:p>
      <w:pPr>
        <w:pStyle w:val="30"/>
        <w:spacing w:line="360" w:lineRule="auto"/>
        <w:ind w:firstLine="482"/>
        <w:rPr>
          <w:rFonts w:ascii="Times New Roman" w:hAnsi="Times New Roman"/>
          <w:b/>
        </w:rPr>
      </w:pPr>
      <w:r>
        <w:rPr>
          <w:rFonts w:ascii="Times New Roman" w:hAnsi="Times New Roman"/>
          <w:b/>
        </w:rPr>
        <w:t xml:space="preserve">第一部分   </w:t>
      </w:r>
      <w:r>
        <w:rPr>
          <w:rFonts w:hint="eastAsia" w:ascii="Times New Roman" w:hAnsi="Times New Roman"/>
          <w:b/>
        </w:rPr>
        <w:t>供应商</w:t>
      </w:r>
      <w:r>
        <w:rPr>
          <w:rFonts w:ascii="Times New Roman" w:hAnsi="Times New Roman"/>
          <w:b/>
        </w:rPr>
        <w:t>须知</w:t>
      </w:r>
    </w:p>
    <w:p>
      <w:pPr>
        <w:pStyle w:val="30"/>
        <w:spacing w:line="360" w:lineRule="auto"/>
        <w:ind w:firstLine="482"/>
        <w:rPr>
          <w:rFonts w:ascii="Times New Roman" w:hAnsi="Times New Roman"/>
          <w:b/>
        </w:rPr>
      </w:pPr>
      <w:r>
        <w:rPr>
          <w:rFonts w:ascii="Times New Roman" w:hAnsi="Times New Roman"/>
          <w:b/>
        </w:rPr>
        <w:t>第二部分   政府采购合同格式</w:t>
      </w:r>
    </w:p>
    <w:p>
      <w:pPr>
        <w:pStyle w:val="30"/>
        <w:spacing w:line="360" w:lineRule="auto"/>
        <w:ind w:firstLine="482"/>
        <w:rPr>
          <w:rFonts w:ascii="Times New Roman" w:hAnsi="Times New Roman"/>
          <w:b/>
        </w:rPr>
      </w:pPr>
      <w:r>
        <w:rPr>
          <w:rFonts w:ascii="Times New Roman" w:hAnsi="Times New Roman"/>
          <w:b/>
        </w:rPr>
        <w:t xml:space="preserve">第三部分   </w:t>
      </w:r>
      <w:r>
        <w:rPr>
          <w:rFonts w:hint="eastAsia" w:ascii="Times New Roman" w:hAnsi="Times New Roman"/>
          <w:b/>
        </w:rPr>
        <w:t>响应</w:t>
      </w:r>
      <w:r>
        <w:rPr>
          <w:rFonts w:ascii="Times New Roman" w:hAnsi="Times New Roman"/>
          <w:b/>
        </w:rPr>
        <w:t>文件格式</w:t>
      </w:r>
    </w:p>
    <w:p>
      <w:pPr>
        <w:pStyle w:val="30"/>
        <w:spacing w:line="360" w:lineRule="auto"/>
        <w:ind w:firstLine="482"/>
        <w:rPr>
          <w:rFonts w:ascii="Times New Roman" w:hAnsi="Times New Roman"/>
          <w:b/>
        </w:rPr>
      </w:pPr>
      <w:r>
        <w:rPr>
          <w:rFonts w:ascii="Times New Roman" w:hAnsi="Times New Roman"/>
          <w:b/>
        </w:rPr>
        <w:t>第四部分   附件</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b/>
          <w:sz w:val="28"/>
          <w:szCs w:val="28"/>
        </w:rPr>
      </w:pPr>
      <w:r>
        <w:rPr>
          <w:rFonts w:ascii="Times New Roman" w:hAnsi="Times New Roman"/>
          <w:b/>
          <w:sz w:val="28"/>
          <w:szCs w:val="28"/>
        </w:rPr>
        <w:t>第二册  项目专用部分（本册）</w:t>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TOC \o "1-2" \h \z \u </w:instrText>
      </w:r>
      <w:r>
        <w:fldChar w:fldCharType="separate"/>
      </w:r>
      <w:r>
        <w:fldChar w:fldCharType="begin"/>
      </w:r>
      <w:r>
        <w:instrText xml:space="preserve"> HYPERLINK \l "_Toc81467277" </w:instrText>
      </w:r>
      <w:r>
        <w:fldChar w:fldCharType="separate"/>
      </w:r>
      <w:r>
        <w:rPr>
          <w:rStyle w:val="23"/>
          <w:b/>
        </w:rPr>
        <w:t>第五部分  磋商邀请</w:t>
      </w:r>
      <w:r>
        <w:tab/>
      </w:r>
      <w:r>
        <w:fldChar w:fldCharType="begin"/>
      </w:r>
      <w:r>
        <w:instrText xml:space="preserve"> PAGEREF _Toc81467277 \h </w:instrText>
      </w:r>
      <w:r>
        <w:fldChar w:fldCharType="separate"/>
      </w:r>
      <w:r>
        <w:t>2</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"_Toc81467278" </w:instrText>
      </w:r>
      <w:r>
        <w:fldChar w:fldCharType="separate"/>
      </w:r>
      <w:r>
        <w:rPr>
          <w:rStyle w:val="23"/>
          <w:b/>
        </w:rPr>
        <w:t>第六部分  供应商须知附表</w:t>
      </w:r>
      <w:r>
        <w:tab/>
      </w:r>
      <w:r>
        <w:fldChar w:fldCharType="begin"/>
      </w:r>
      <w:r>
        <w:instrText xml:space="preserve"> PAGEREF _Toc81467278 \h </w:instrText>
      </w:r>
      <w:r>
        <w:fldChar w:fldCharType="separate"/>
      </w:r>
      <w:r>
        <w:t>3</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"_Toc81467279" </w:instrText>
      </w:r>
      <w:r>
        <w:fldChar w:fldCharType="separate"/>
      </w:r>
      <w:r>
        <w:rPr>
          <w:rStyle w:val="23"/>
          <w:b/>
        </w:rPr>
        <w:t>第七部分  评审方法和评分细则</w:t>
      </w:r>
      <w:r>
        <w:tab/>
      </w:r>
      <w:r>
        <w:fldChar w:fldCharType="begin"/>
      </w:r>
      <w:r>
        <w:instrText xml:space="preserve"> PAGEREF _Toc81467279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"_Toc81467280" </w:instrText>
      </w:r>
      <w:r>
        <w:fldChar w:fldCharType="separate"/>
      </w:r>
      <w:r>
        <w:rPr>
          <w:rStyle w:val="23"/>
          <w:b/>
        </w:rPr>
        <w:t>一、评审方法</w:t>
      </w:r>
      <w:r>
        <w:tab/>
      </w:r>
      <w:r>
        <w:fldChar w:fldCharType="begin"/>
      </w:r>
      <w:r>
        <w:instrText xml:space="preserve"> PAGEREF _Toc81467280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"_Toc81467281" </w:instrText>
      </w:r>
      <w:r>
        <w:fldChar w:fldCharType="separate"/>
      </w:r>
      <w:r>
        <w:rPr>
          <w:rStyle w:val="23"/>
          <w:b/>
        </w:rPr>
        <w:t>二、评分细则</w:t>
      </w:r>
      <w:r>
        <w:tab/>
      </w:r>
      <w:r>
        <w:fldChar w:fldCharType="begin"/>
      </w:r>
      <w:r>
        <w:instrText xml:space="preserve"> PAGEREF _Toc81467281 \h </w:instrText>
      </w:r>
      <w:r>
        <w:fldChar w:fldCharType="separate"/>
      </w:r>
      <w:r>
        <w:t>11</w:t>
      </w:r>
      <w:r>
        <w:fldChar w:fldCharType="end"/>
      </w:r>
      <w:r>
        <w:fldChar w:fldCharType="end"/>
      </w:r>
    </w:p>
    <w:p>
      <w:pPr>
        <w:pStyle w:val="18"/>
        <w:tabs>
          <w:tab w:val="right" w:leader="dot" w:pos="9629"/>
        </w:tabs>
        <w:spacing w:line="360" w:lineRule="auto"/>
        <w:ind w:firstLine="960"/>
        <w:rPr>
          <w:rFonts w:asciiTheme="minorHAnsi" w:hAnsiTheme="minorHAnsi" w:eastAsiaTheme="minorEastAsia" w:cstheme="minorBidi"/>
          <w:sz w:val="21"/>
          <w:szCs w:val="22"/>
        </w:rPr>
      </w:pPr>
      <w:r>
        <w:fldChar w:fldCharType="begin"/>
      </w:r>
      <w:r>
        <w:instrText xml:space="preserve"> HYPERLINK \l "_Toc81467282" </w:instrText>
      </w:r>
      <w:r>
        <w:fldChar w:fldCharType="separate"/>
      </w:r>
      <w:r>
        <w:rPr>
          <w:rStyle w:val="23"/>
          <w:b/>
        </w:rPr>
        <w:t>三、初步审查属于无效报价的条款</w:t>
      </w:r>
      <w:r>
        <w:tab/>
      </w:r>
      <w:r>
        <w:fldChar w:fldCharType="begin"/>
      </w:r>
      <w:r>
        <w:instrText xml:space="preserve"> PAGEREF _Toc81467282 \h </w:instrText>
      </w:r>
      <w:r>
        <w:fldChar w:fldCharType="separate"/>
      </w:r>
      <w:r>
        <w:t>11</w:t>
      </w:r>
      <w:r>
        <w:fldChar w:fldCharType="end"/>
      </w:r>
      <w:r>
        <w:fldChar w:fldCharType="end"/>
      </w:r>
    </w:p>
    <w:p>
      <w:pPr>
        <w:pStyle w:val="17"/>
        <w:tabs>
          <w:tab w:val="right" w:leader="dot" w:pos="9629"/>
        </w:tabs>
        <w:spacing w:line="360" w:lineRule="auto"/>
        <w:ind w:firstLine="480"/>
        <w:rPr>
          <w:rFonts w:asciiTheme="minorHAnsi" w:hAnsiTheme="minorHAnsi" w:eastAsiaTheme="minorEastAsia" w:cstheme="minorBidi"/>
          <w:sz w:val="21"/>
          <w:szCs w:val="22"/>
        </w:rPr>
      </w:pPr>
      <w:r>
        <w:fldChar w:fldCharType="begin"/>
      </w:r>
      <w:r>
        <w:instrText xml:space="preserve"> HYPERLINK \l "_Toc81467283" </w:instrText>
      </w:r>
      <w:r>
        <w:fldChar w:fldCharType="separate"/>
      </w:r>
      <w:r>
        <w:rPr>
          <w:rStyle w:val="23"/>
          <w:b/>
        </w:rPr>
        <w:t>第八部分  技术要求及说明</w:t>
      </w:r>
      <w:r>
        <w:tab/>
      </w:r>
      <w:r>
        <w:fldChar w:fldCharType="begin"/>
      </w:r>
      <w:r>
        <w:instrText xml:space="preserve"> PAGEREF _Toc81467283 \h </w:instrText>
      </w:r>
      <w:r>
        <w:fldChar w:fldCharType="separate"/>
      </w:r>
      <w:r>
        <w:t>14</w:t>
      </w:r>
      <w:r>
        <w:fldChar w:fldCharType="end"/>
      </w:r>
      <w:r>
        <w:fldChar w:fldCharType="end"/>
      </w:r>
    </w:p>
    <w:p>
      <w:pPr>
        <w:pStyle w:val="30"/>
        <w:spacing w:line="360" w:lineRule="auto"/>
        <w:ind w:firstLine="0" w:firstLineChars="0"/>
        <w:rPr>
          <w:rFonts w:ascii="Times New Roman" w:hAnsi="Times New Roman"/>
        </w:rPr>
      </w:pPr>
      <w:r>
        <w:rPr>
          <w:rFonts w:ascii="Times New Roman" w:hAnsi="Times New Roman"/>
        </w:rPr>
        <w:fldChar w:fldCharType="end"/>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spacing w:line="360" w:lineRule="auto"/>
        <w:ind w:firstLine="0" w:firstLineChars="0"/>
        <w:jc w:val="center"/>
        <w:outlineLvl w:val="0"/>
        <w:rPr>
          <w:rFonts w:ascii="Times New Roman" w:hAnsi="Times New Roman"/>
          <w:b/>
          <w:sz w:val="32"/>
          <w:szCs w:val="32"/>
        </w:rPr>
      </w:pPr>
      <w:bookmarkStart w:id="0" w:name="_Toc81467277"/>
      <w:r>
        <w:rPr>
          <w:rFonts w:ascii="Times New Roman" w:hAnsi="Times New Roman"/>
          <w:b/>
          <w:sz w:val="32"/>
          <w:szCs w:val="32"/>
        </w:rPr>
        <w:t xml:space="preserve">第五部分  </w:t>
      </w:r>
      <w:r>
        <w:rPr>
          <w:rFonts w:hint="eastAsia" w:ascii="Times New Roman" w:hAnsi="Times New Roman"/>
          <w:b/>
          <w:sz w:val="32"/>
          <w:szCs w:val="32"/>
        </w:rPr>
        <w:t>磋商</w:t>
      </w:r>
      <w:r>
        <w:rPr>
          <w:rFonts w:ascii="Times New Roman" w:hAnsi="Times New Roman"/>
          <w:b/>
          <w:sz w:val="32"/>
          <w:szCs w:val="32"/>
        </w:rPr>
        <w:t>邀请</w:t>
      </w:r>
      <w:bookmarkEnd w:id="0"/>
    </w:p>
    <w:p>
      <w:pPr>
        <w:pStyle w:val="30"/>
        <w:spacing w:line="360" w:lineRule="auto"/>
        <w:ind w:firstLine="480"/>
        <w:rPr>
          <w:rFonts w:ascii="Times New Roman" w:hAnsi="Times New Roman"/>
        </w:rPr>
      </w:pPr>
      <w:r>
        <w:rPr>
          <w:rFonts w:hint="eastAsia" w:ascii="Times New Roman" w:hAnsi="Times New Roman"/>
          <w:lang w:eastAsia="zh-CN"/>
        </w:rPr>
        <w:t>山东华仁永旺招标有限公司</w:t>
      </w:r>
      <w:r>
        <w:rPr>
          <w:rFonts w:ascii="Times New Roman" w:hAnsi="Times New Roman"/>
        </w:rPr>
        <w:t>（以下简称采购代理机构）受</w:t>
      </w:r>
      <w:r>
        <w:rPr>
          <w:rFonts w:hint="eastAsia" w:ascii="Times New Roman" w:hAnsi="Times New Roman"/>
          <w:lang w:eastAsia="zh-CN"/>
        </w:rPr>
        <w:t>山东第一医科大学（山东省医学科学院）</w:t>
      </w:r>
      <w:r>
        <w:rPr>
          <w:rFonts w:ascii="Times New Roman" w:hAnsi="Times New Roman"/>
        </w:rPr>
        <w:t>的委托，对“</w:t>
      </w:r>
      <w:r>
        <w:rPr>
          <w:rFonts w:hint="eastAsia" w:ascii="Times New Roman" w:hAnsi="Times New Roman"/>
          <w:lang w:eastAsia="zh-CN"/>
        </w:rPr>
        <w:t>山东第一医科大学（山东省医学科学院）双高建设中西医结合特色学科专用设备购置</w:t>
      </w:r>
      <w:r>
        <w:rPr>
          <w:rFonts w:ascii="Times New Roman" w:hAnsi="Times New Roman"/>
        </w:rPr>
        <w:t>”货物及其他相关服务进行</w:t>
      </w:r>
      <w:r>
        <w:rPr>
          <w:rFonts w:hint="eastAsia" w:ascii="Times New Roman" w:hAnsi="Times New Roman"/>
        </w:rPr>
        <w:t>竞争性磋商</w:t>
      </w:r>
      <w:r>
        <w:rPr>
          <w:rFonts w:ascii="Times New Roman" w:hAnsi="Times New Roman"/>
        </w:rPr>
        <w:t>采购，欢迎符合条件的合格供应商参与</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一、项目名称及编号</w:t>
      </w:r>
    </w:p>
    <w:p>
      <w:pPr>
        <w:pStyle w:val="30"/>
        <w:spacing w:line="360" w:lineRule="auto"/>
        <w:ind w:firstLine="480"/>
        <w:rPr>
          <w:rFonts w:hint="eastAsia" w:ascii="Times New Roman" w:hAnsi="Times New Roman" w:eastAsia="仿宋"/>
          <w:lang w:eastAsia="zh-CN"/>
        </w:rPr>
      </w:pPr>
      <w:r>
        <w:rPr>
          <w:rFonts w:ascii="Times New Roman" w:hAnsi="Times New Roman"/>
        </w:rPr>
        <w:t>项目名称</w:t>
      </w:r>
      <w:r>
        <w:rPr>
          <w:rFonts w:hint="eastAsia" w:ascii="Times New Roman" w:hAnsi="Times New Roman"/>
        </w:rPr>
        <w:t>：</w:t>
      </w:r>
      <w:r>
        <w:rPr>
          <w:rFonts w:hint="eastAsia" w:ascii="Times New Roman" w:hAnsi="Times New Roman"/>
          <w:lang w:eastAsia="zh-CN"/>
        </w:rPr>
        <w:t>山东第一医科大学（山东省医学科学院）双高建设中西医结合特色学科专用设备购置</w:t>
      </w:r>
    </w:p>
    <w:p>
      <w:pPr>
        <w:pStyle w:val="30"/>
        <w:spacing w:line="360" w:lineRule="auto"/>
        <w:ind w:firstLine="480"/>
        <w:rPr>
          <w:rFonts w:hint="eastAsia" w:ascii="Times New Roman" w:hAnsi="Times New Roman" w:eastAsia="仿宋"/>
          <w:lang w:eastAsia="zh-CN"/>
        </w:rPr>
      </w:pPr>
      <w:r>
        <w:rPr>
          <w:rFonts w:ascii="Times New Roman" w:hAnsi="Times New Roman"/>
        </w:rPr>
        <w:t>项目编号：</w:t>
      </w:r>
      <w:r>
        <w:rPr>
          <w:rFonts w:hint="eastAsia" w:ascii="Times New Roman" w:hAnsi="Times New Roman"/>
        </w:rPr>
        <w:t>SDGP370000000202302003975</w:t>
      </w:r>
      <w:r>
        <w:rPr>
          <w:rFonts w:hint="eastAsia" w:ascii="Times New Roman" w:hAnsi="Times New Roman"/>
          <w:lang w:val="en-US" w:eastAsia="zh-CN"/>
        </w:rPr>
        <w:t>/</w:t>
      </w:r>
      <w:r>
        <w:rPr>
          <w:rFonts w:hint="eastAsia" w:ascii="Times New Roman" w:hAnsi="Times New Roman"/>
          <w:lang w:eastAsia="zh-CN"/>
        </w:rPr>
        <w:t>sdhryw2023106</w:t>
      </w:r>
    </w:p>
    <w:p>
      <w:pPr>
        <w:pStyle w:val="30"/>
        <w:spacing w:line="360" w:lineRule="auto"/>
        <w:ind w:firstLine="482"/>
        <w:rPr>
          <w:rFonts w:ascii="Times New Roman" w:hAnsi="Times New Roman"/>
          <w:b/>
        </w:rPr>
      </w:pPr>
      <w:r>
        <w:rPr>
          <w:rFonts w:ascii="Times New Roman" w:hAnsi="Times New Roman"/>
          <w:b/>
        </w:rPr>
        <w:t>二、采购内容及分包</w:t>
      </w:r>
    </w:p>
    <w:p>
      <w:pPr>
        <w:pStyle w:val="30"/>
        <w:spacing w:line="360" w:lineRule="auto"/>
        <w:ind w:firstLine="480"/>
        <w:rPr>
          <w:rFonts w:ascii="Times New Roman" w:hAnsi="Times New Roman"/>
        </w:rPr>
      </w:pPr>
      <w:r>
        <w:rPr>
          <w:rFonts w:ascii="Times New Roman" w:hAnsi="Times New Roman"/>
        </w:rPr>
        <w:t>1、采购内容：本项目为</w:t>
      </w:r>
      <w:r>
        <w:rPr>
          <w:rFonts w:hint="eastAsia" w:ascii="Times New Roman" w:hAnsi="Times New Roman"/>
          <w:lang w:eastAsia="zh-CN"/>
        </w:rPr>
        <w:t>山东第一医科大学（山东省医学科学院）双高建设中西医结合特色学科专用设备购置</w:t>
      </w:r>
      <w:r>
        <w:rPr>
          <w:rFonts w:ascii="Times New Roman" w:hAnsi="Times New Roman"/>
        </w:rPr>
        <w:t>，包括拟采购设备的供货、运输、安装调试及售后服务等。</w:t>
      </w:r>
    </w:p>
    <w:p>
      <w:pPr>
        <w:pStyle w:val="30"/>
        <w:spacing w:line="360" w:lineRule="auto"/>
        <w:ind w:firstLine="480"/>
        <w:rPr>
          <w:rFonts w:ascii="Times New Roman" w:hAnsi="Times New Roman"/>
        </w:rPr>
      </w:pPr>
      <w:r>
        <w:rPr>
          <w:rFonts w:ascii="Times New Roman" w:hAnsi="Times New Roman"/>
        </w:rPr>
        <w:t>2、分包情况：本项目</w:t>
      </w:r>
      <w:r>
        <w:rPr>
          <w:rFonts w:hint="eastAsia" w:ascii="Times New Roman" w:hAnsi="Times New Roman"/>
        </w:rPr>
        <w:t>总预算</w:t>
      </w:r>
      <w:r>
        <w:rPr>
          <w:rFonts w:hint="eastAsia" w:ascii="Times New Roman" w:hAnsi="Times New Roman"/>
          <w:lang w:val="en-US" w:eastAsia="zh-CN"/>
        </w:rPr>
        <w:t>105</w:t>
      </w:r>
      <w:r>
        <w:rPr>
          <w:rFonts w:hint="eastAsia" w:ascii="Times New Roman" w:hAnsi="Times New Roman"/>
        </w:rPr>
        <w:t>万元，</w:t>
      </w:r>
      <w:r>
        <w:rPr>
          <w:rFonts w:ascii="Times New Roman" w:hAnsi="Times New Roman"/>
        </w:rPr>
        <w:t>共</w:t>
      </w:r>
      <w:r>
        <w:rPr>
          <w:rFonts w:hint="eastAsia" w:ascii="Times New Roman" w:hAnsi="Times New Roman"/>
          <w:lang w:val="en-US" w:eastAsia="zh-CN"/>
        </w:rPr>
        <w:t>1</w:t>
      </w:r>
      <w:r>
        <w:rPr>
          <w:rFonts w:ascii="Times New Roman" w:hAnsi="Times New Roman"/>
        </w:rPr>
        <w:t>个包</w:t>
      </w:r>
      <w:r>
        <w:rPr>
          <w:rFonts w:hint="eastAsia"/>
          <w:bCs/>
          <w:szCs w:val="24"/>
        </w:rPr>
        <w:t>，</w:t>
      </w:r>
      <w:r>
        <w:rPr>
          <w:rFonts w:hint="eastAsia"/>
          <w:bCs/>
          <w:szCs w:val="24"/>
          <w:lang w:val="en-US" w:eastAsia="zh-CN"/>
        </w:rPr>
        <w:t>A包：三维红外运动捕捉系统</w:t>
      </w:r>
      <w:r>
        <w:rPr>
          <w:rFonts w:hint="eastAsia" w:ascii="仿宋" w:hAnsi="仿宋" w:cs="仿宋"/>
          <w:color w:val="auto"/>
          <w:sz w:val="24"/>
          <w:szCs w:val="24"/>
          <w:highlight w:val="none"/>
          <w:lang w:val="en-US" w:eastAsia="zh-CN"/>
        </w:rPr>
        <w:t>。</w:t>
      </w:r>
      <w:r>
        <w:rPr>
          <w:rFonts w:hint="eastAsia"/>
          <w:bCs/>
          <w:szCs w:val="24"/>
        </w:rPr>
        <w:t>分包内不允许拆包后报价</w:t>
      </w:r>
      <w:r>
        <w:rPr>
          <w:rFonts w:hint="eastAsia" w:ascii="Times New Roman" w:hAnsi="Times New Roman"/>
        </w:rPr>
        <w:t>。</w:t>
      </w:r>
      <w:r>
        <w:rPr>
          <w:rFonts w:ascii="Times New Roman" w:hAnsi="Times New Roman"/>
        </w:rPr>
        <w:t>具体分包及技术、服务要求详见“第八部分技术要求及说明”。</w:t>
      </w:r>
    </w:p>
    <w:p>
      <w:pPr>
        <w:pStyle w:val="30"/>
        <w:spacing w:line="360" w:lineRule="auto"/>
        <w:ind w:firstLine="482"/>
        <w:rPr>
          <w:rFonts w:ascii="Times New Roman" w:hAnsi="Times New Roman"/>
          <w:b/>
        </w:rPr>
      </w:pPr>
      <w:r>
        <w:rPr>
          <w:rFonts w:ascii="Times New Roman" w:hAnsi="Times New Roman"/>
          <w:b/>
        </w:rPr>
        <w:t>三、供应商资格要求</w:t>
      </w:r>
    </w:p>
    <w:p>
      <w:pPr>
        <w:pStyle w:val="30"/>
        <w:spacing w:line="360" w:lineRule="auto"/>
        <w:ind w:firstLine="480"/>
        <w:rPr>
          <w:rFonts w:ascii="Times New Roman" w:hAnsi="Times New Roman"/>
        </w:rPr>
      </w:pPr>
      <w:r>
        <w:rPr>
          <w:rFonts w:ascii="Times New Roman" w:hAnsi="Times New Roman"/>
        </w:rPr>
        <w:t>1、符合《中华人民共和国政府采购法》第二十二条规定；</w:t>
      </w:r>
      <w:r>
        <w:rPr>
          <w:rFonts w:hint="eastAsia" w:ascii="Times New Roman" w:hAnsi="Times New Roman"/>
          <w:lang w:val="en-US" w:eastAsia="zh-CN"/>
        </w:rPr>
        <w:t>2</w:t>
      </w:r>
      <w:r>
        <w:rPr>
          <w:rFonts w:hint="eastAsia" w:ascii="Times New Roman" w:hAnsi="Times New Roman"/>
        </w:rPr>
        <w:t>、</w:t>
      </w:r>
      <w:r>
        <w:rPr>
          <w:rFonts w:ascii="Times New Roman" w:hAnsi="Times New Roman"/>
        </w:rPr>
        <w:t>在“信用中国”网站（www.creditchina.gov.cn）、“信用中国（山东）”网站（credit.shandong.gov.cn）、 “中国政府采购网”网站（www.ccgp.gov.cn）中被列入失信被执行人、重大税收违法案件当事人名单、政府采购严重违法失信行为记录名单的</w:t>
      </w:r>
      <w:r>
        <w:rPr>
          <w:rFonts w:hint="eastAsia" w:ascii="Times New Roman" w:hAnsi="Times New Roman"/>
        </w:rPr>
        <w:t>供应商</w:t>
      </w:r>
      <w:r>
        <w:rPr>
          <w:rFonts w:ascii="Times New Roman" w:hAnsi="Times New Roman"/>
        </w:rPr>
        <w:t>，不得参加本次政府采购活动</w:t>
      </w:r>
      <w:r>
        <w:rPr>
          <w:rFonts w:hint="eastAsia" w:ascii="Times New Roman" w:hAnsi="Times New Roman"/>
        </w:rPr>
        <w:t>；</w:t>
      </w:r>
      <w:r>
        <w:rPr>
          <w:rFonts w:hint="eastAsia" w:ascii="Times New Roman" w:hAnsi="Times New Roman"/>
          <w:lang w:val="en-US" w:eastAsia="zh-CN"/>
        </w:rPr>
        <w:t>3</w:t>
      </w:r>
      <w:r>
        <w:rPr>
          <w:rFonts w:ascii="Times New Roman" w:hAnsi="Times New Roman"/>
        </w:rPr>
        <w:t>、</w:t>
      </w:r>
      <w:r>
        <w:rPr>
          <w:rFonts w:hint="eastAsia" w:ascii="仿宋" w:hAnsi="仿宋" w:eastAsia="仿宋" w:cs="仿宋"/>
          <w:color w:val="auto"/>
          <w:sz w:val="24"/>
          <w:szCs w:val="24"/>
          <w:highlight w:val="none"/>
          <w:lang w:val="en-US" w:eastAsia="zh-CN"/>
        </w:rPr>
        <w:t>进口产品需提供产品授权；（所投产品为进口产品的）</w:t>
      </w:r>
      <w:r>
        <w:rPr>
          <w:rFonts w:hint="eastAsia" w:ascii="仿宋" w:hAnsi="仿宋" w:cs="仿宋"/>
          <w:color w:val="auto"/>
          <w:sz w:val="24"/>
          <w:szCs w:val="24"/>
          <w:highlight w:val="none"/>
          <w:lang w:val="en-US" w:eastAsia="zh-CN"/>
        </w:rPr>
        <w:t>4、</w:t>
      </w:r>
      <w:r>
        <w:rPr>
          <w:rFonts w:ascii="Times New Roman" w:hAnsi="Times New Roman"/>
        </w:rPr>
        <w:t>本项目不接受联合体</w:t>
      </w:r>
      <w:r>
        <w:rPr>
          <w:rFonts w:hint="eastAsia" w:ascii="Times New Roman" w:hAnsi="Times New Roman"/>
        </w:rPr>
        <w:t>报价</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四、</w:t>
      </w:r>
      <w:r>
        <w:rPr>
          <w:rFonts w:hint="eastAsia" w:ascii="Times New Roman" w:hAnsi="Times New Roman"/>
          <w:b/>
        </w:rPr>
        <w:t>磋商</w:t>
      </w:r>
      <w:r>
        <w:rPr>
          <w:rFonts w:ascii="Times New Roman" w:hAnsi="Times New Roman"/>
          <w:b/>
        </w:rPr>
        <w:t>文件发售的时间、地点、售价及方式</w:t>
      </w:r>
    </w:p>
    <w:p>
      <w:pPr>
        <w:pStyle w:val="30"/>
        <w:spacing w:line="360" w:lineRule="auto"/>
        <w:ind w:firstLine="480"/>
        <w:rPr>
          <w:rFonts w:ascii="Times New Roman" w:hAnsi="Times New Roman"/>
        </w:rPr>
      </w:pPr>
      <w:r>
        <w:rPr>
          <w:rFonts w:ascii="Times New Roman" w:hAnsi="Times New Roman"/>
        </w:rPr>
        <w:t>1、时间：20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6</w:t>
      </w:r>
      <w:r>
        <w:rPr>
          <w:rFonts w:ascii="Times New Roman" w:hAnsi="Times New Roman"/>
        </w:rPr>
        <w:t>月</w:t>
      </w:r>
      <w:r>
        <w:rPr>
          <w:rFonts w:hint="eastAsia" w:ascii="Times New Roman" w:hAnsi="Times New Roman"/>
          <w:lang w:val="en-US" w:eastAsia="zh-CN"/>
        </w:rPr>
        <w:t>26</w:t>
      </w:r>
      <w:r>
        <w:rPr>
          <w:rFonts w:ascii="Times New Roman" w:hAnsi="Times New Roman"/>
        </w:rPr>
        <w:t>日至20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6</w:t>
      </w:r>
      <w:r>
        <w:rPr>
          <w:rFonts w:ascii="Times New Roman" w:hAnsi="Times New Roman"/>
        </w:rPr>
        <w:t>月</w:t>
      </w:r>
      <w:r>
        <w:rPr>
          <w:rFonts w:hint="eastAsia" w:ascii="Times New Roman" w:hAnsi="Times New Roman"/>
          <w:lang w:val="en-US" w:eastAsia="zh-CN"/>
        </w:rPr>
        <w:t>30</w:t>
      </w:r>
      <w:r>
        <w:rPr>
          <w:rFonts w:ascii="Times New Roman" w:hAnsi="Times New Roman"/>
        </w:rPr>
        <w:t>日，每天8:30-1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3</w:t>
      </w:r>
      <w:r>
        <w:rPr>
          <w:rFonts w:ascii="Times New Roman" w:hAnsi="Times New Roman"/>
        </w:rPr>
        <w:t>0、13:30-1</w:t>
      </w:r>
      <w:r>
        <w:rPr>
          <w:rFonts w:hint="eastAsia" w:ascii="Times New Roman" w:hAnsi="Times New Roman"/>
          <w:lang w:val="en-US" w:eastAsia="zh-CN"/>
        </w:rPr>
        <w:t>6</w:t>
      </w:r>
      <w:r>
        <w:rPr>
          <w:rFonts w:ascii="Times New Roman" w:hAnsi="Times New Roman"/>
        </w:rPr>
        <w:t>:</w:t>
      </w:r>
      <w:r>
        <w:rPr>
          <w:rFonts w:hint="eastAsia" w:ascii="Times New Roman" w:hAnsi="Times New Roman"/>
          <w:lang w:val="en-US" w:eastAsia="zh-CN"/>
        </w:rPr>
        <w:t>3</w:t>
      </w:r>
      <w:r>
        <w:rPr>
          <w:rFonts w:ascii="Times New Roman" w:hAnsi="Times New Roman"/>
        </w:rPr>
        <w:t>0（节假日除外）。</w:t>
      </w:r>
    </w:p>
    <w:p>
      <w:pPr>
        <w:pStyle w:val="30"/>
        <w:spacing w:line="360" w:lineRule="auto"/>
        <w:ind w:firstLine="480"/>
        <w:rPr>
          <w:rFonts w:ascii="Times New Roman" w:hAnsi="Times New Roman"/>
        </w:rPr>
      </w:pPr>
      <w:r>
        <w:rPr>
          <w:rFonts w:ascii="Times New Roman" w:hAnsi="Times New Roman"/>
        </w:rPr>
        <w:t>2、地点：</w:t>
      </w:r>
      <w:r>
        <w:rPr>
          <w:rFonts w:hint="eastAsia" w:ascii="Times New Roman" w:hAnsi="Times New Roman"/>
          <w:lang w:eastAsia="zh-CN"/>
        </w:rPr>
        <w:t>济南市历下区经十路13777号中润世纪广场18号楼603</w:t>
      </w:r>
      <w:r>
        <w:rPr>
          <w:rFonts w:ascii="Times New Roman" w:hAnsi="Times New Roman"/>
        </w:rPr>
        <w:t>(</w:t>
      </w:r>
      <w:r>
        <w:rPr>
          <w:rFonts w:hint="eastAsia" w:ascii="Times New Roman" w:hAnsi="Times New Roman"/>
          <w:lang w:eastAsia="zh-CN"/>
        </w:rPr>
        <w:t>山东华仁永旺招标有限公司</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3、售价：</w:t>
      </w:r>
      <w:r>
        <w:rPr>
          <w:rFonts w:hint="eastAsia" w:ascii="Times New Roman" w:hAnsi="Times New Roman"/>
          <w:lang w:val="en-US" w:eastAsia="zh-CN"/>
        </w:rPr>
        <w:t>4</w:t>
      </w:r>
      <w:r>
        <w:rPr>
          <w:rFonts w:ascii="Times New Roman" w:hAnsi="Times New Roman"/>
        </w:rPr>
        <w:t>00元/包</w:t>
      </w:r>
      <w:r>
        <w:rPr>
          <w:rFonts w:hint="eastAsia" w:ascii="Times New Roman" w:hAnsi="Times New Roman"/>
        </w:rPr>
        <w:t>，磋商</w:t>
      </w:r>
      <w:r>
        <w:rPr>
          <w:rFonts w:ascii="Times New Roman" w:hAnsi="Times New Roman"/>
        </w:rPr>
        <w:t>文件售出不退。开户单位：</w:t>
      </w:r>
      <w:r>
        <w:rPr>
          <w:rFonts w:hint="eastAsia" w:ascii="Times New Roman" w:hAnsi="Times New Roman"/>
          <w:lang w:eastAsia="zh-CN"/>
        </w:rPr>
        <w:t>山东华仁永旺招标有限公司</w:t>
      </w:r>
      <w:r>
        <w:rPr>
          <w:rFonts w:ascii="Times New Roman" w:hAnsi="Times New Roman"/>
        </w:rPr>
        <w:t>，开户银行：</w:t>
      </w:r>
      <w:r>
        <w:rPr>
          <w:rFonts w:hint="eastAsia" w:ascii="Times New Roman" w:hAnsi="Times New Roman"/>
          <w:lang w:eastAsia="zh-CN"/>
        </w:rPr>
        <w:t>中国工商银行济南高新支行</w:t>
      </w:r>
      <w:r>
        <w:rPr>
          <w:rFonts w:ascii="Times New Roman" w:hAnsi="Times New Roman"/>
        </w:rPr>
        <w:t>，账号：</w:t>
      </w:r>
      <w:r>
        <w:rPr>
          <w:rFonts w:hint="eastAsia" w:ascii="Times New Roman" w:hAnsi="Times New Roman"/>
          <w:lang w:eastAsia="zh-CN"/>
        </w:rPr>
        <w:t>1602023609200296250</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4、报名方式：</w:t>
      </w:r>
      <w:r>
        <w:rPr>
          <w:rFonts w:hint="eastAsia" w:ascii="仿宋" w:hAnsi="仿宋" w:eastAsia="仿宋" w:cs="仿宋"/>
          <w:color w:val="auto"/>
          <w:sz w:val="24"/>
          <w:highlight w:val="none"/>
        </w:rPr>
        <w:t>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w:t>
      </w:r>
      <w:r>
        <w:rPr>
          <w:rFonts w:hint="eastAsia" w:ascii="仿宋" w:hAnsi="仿宋" w:cs="仿宋"/>
          <w:color w:val="auto"/>
          <w:sz w:val="24"/>
          <w:highlight w:val="none"/>
          <w:lang w:eastAsia="zh-CN"/>
        </w:rPr>
        <w:t>sdhryw@126.com</w:t>
      </w:r>
      <w:r>
        <w:rPr>
          <w:rFonts w:hint="eastAsia" w:ascii="仿宋" w:hAnsi="仿宋" w:eastAsia="仿宋" w:cs="仿宋"/>
          <w:color w:val="auto"/>
          <w:sz w:val="24"/>
          <w:highlight w:val="none"/>
        </w:rPr>
        <w:t>）：上述资料扫描件及对公汇款截图、联系人、联系电话发至邮箱（</w:t>
      </w:r>
      <w:r>
        <w:rPr>
          <w:rFonts w:hint="eastAsia" w:ascii="仿宋" w:hAnsi="仿宋" w:eastAsia="仿宋" w:cs="仿宋"/>
          <w:b/>
          <w:bCs/>
          <w:color w:val="auto"/>
          <w:sz w:val="24"/>
          <w:highlight w:val="none"/>
          <w:lang w:eastAsia="zh-CN"/>
        </w:rPr>
        <w:t>报名费转账必须公对公转账并备注</w:t>
      </w:r>
      <w:r>
        <w:rPr>
          <w:rFonts w:hint="eastAsia" w:ascii="仿宋" w:hAnsi="仿宋" w:cs="仿宋"/>
          <w:b/>
          <w:bCs/>
          <w:color w:val="auto"/>
          <w:sz w:val="24"/>
          <w:highlight w:val="none"/>
          <w:lang w:eastAsia="zh-CN"/>
        </w:rPr>
        <w:t>“</w:t>
      </w:r>
      <w:r>
        <w:rPr>
          <w:rFonts w:hint="eastAsia" w:ascii="仿宋" w:hAnsi="仿宋" w:eastAsia="仿宋" w:cs="仿宋"/>
          <w:b/>
          <w:bCs/>
          <w:color w:val="auto"/>
          <w:sz w:val="24"/>
          <w:highlight w:val="none"/>
          <w:lang w:val="en-US" w:eastAsia="zh-CN"/>
        </w:rPr>
        <w:t>2</w:t>
      </w:r>
      <w:r>
        <w:rPr>
          <w:rFonts w:hint="eastAsia" w:ascii="仿宋" w:hAnsi="仿宋" w:cs="仿宋"/>
          <w:b/>
          <w:bCs/>
          <w:color w:val="auto"/>
          <w:sz w:val="24"/>
          <w:highlight w:val="none"/>
          <w:lang w:val="en-US" w:eastAsia="zh-CN"/>
        </w:rPr>
        <w:t>3</w:t>
      </w:r>
      <w:r>
        <w:rPr>
          <w:rFonts w:hint="eastAsia" w:ascii="仿宋" w:hAnsi="仿宋" w:eastAsia="仿宋" w:cs="仿宋"/>
          <w:b/>
          <w:bCs/>
          <w:color w:val="auto"/>
          <w:sz w:val="24"/>
          <w:highlight w:val="none"/>
          <w:lang w:val="en-US" w:eastAsia="zh-CN"/>
        </w:rPr>
        <w:t>-</w:t>
      </w:r>
      <w:r>
        <w:rPr>
          <w:rFonts w:hint="eastAsia" w:ascii="仿宋" w:hAnsi="仿宋" w:cs="仿宋"/>
          <w:b/>
          <w:bCs/>
          <w:color w:val="auto"/>
          <w:sz w:val="24"/>
          <w:highlight w:val="none"/>
          <w:lang w:val="en-US" w:eastAsia="zh-CN"/>
        </w:rPr>
        <w:t>106</w:t>
      </w:r>
      <w:r>
        <w:rPr>
          <w:rFonts w:hint="eastAsia" w:ascii="仿宋" w:hAnsi="仿宋" w:eastAsia="仿宋" w:cs="仿宋"/>
          <w:b/>
          <w:bCs/>
          <w:color w:val="auto"/>
          <w:sz w:val="24"/>
          <w:highlight w:val="none"/>
          <w:lang w:val="en-US" w:eastAsia="zh-CN"/>
        </w:rPr>
        <w:t>报名费</w:t>
      </w:r>
      <w:r>
        <w:rPr>
          <w:rFonts w:hint="eastAsia" w:ascii="仿宋" w:hAnsi="仿宋" w:cs="仿宋"/>
          <w:b/>
          <w:bCs/>
          <w:color w:val="auto"/>
          <w:sz w:val="24"/>
          <w:highlight w:val="none"/>
          <w:lang w:eastAsia="zh-CN"/>
        </w:rPr>
        <w:t>”</w:t>
      </w:r>
      <w:r>
        <w:rPr>
          <w:rFonts w:hint="eastAsia" w:ascii="仿宋" w:hAnsi="仿宋" w:cs="仿宋"/>
          <w:b/>
          <w:bCs/>
          <w:color w:val="auto"/>
          <w:sz w:val="24"/>
          <w:highlight w:val="none"/>
          <w:lang w:val="en-US" w:eastAsia="zh-CN"/>
        </w:rPr>
        <w:t>，</w:t>
      </w:r>
      <w:r>
        <w:rPr>
          <w:rFonts w:hint="eastAsia" w:ascii="仿宋" w:hAnsi="仿宋" w:eastAsia="仿宋" w:cs="仿宋"/>
          <w:color w:val="auto"/>
          <w:sz w:val="24"/>
          <w:highlight w:val="none"/>
        </w:rPr>
        <w:t>开户单位：山东华仁永旺招标有限公司，开户银行：中国工商银行济南高新支行，帐号：1602023609200296250）。投标报名时的资料查验不代表资格审查的最终通过或合格，投标人最终资格的确认以评审小组的资格后审为准</w:t>
      </w:r>
      <w:r>
        <w:rPr>
          <w:rFonts w:hint="eastAsia" w:ascii="Times New Roman" w:hAnsi="Times New Roman"/>
        </w:rPr>
        <w:t>。</w:t>
      </w:r>
    </w:p>
    <w:p>
      <w:pPr>
        <w:pStyle w:val="30"/>
        <w:spacing w:line="360" w:lineRule="auto"/>
        <w:ind w:firstLine="482"/>
        <w:rPr>
          <w:rFonts w:ascii="Times New Roman" w:hAnsi="Times New Roman"/>
          <w:b/>
        </w:rPr>
      </w:pPr>
      <w:r>
        <w:rPr>
          <w:rFonts w:ascii="Times New Roman" w:hAnsi="Times New Roman"/>
          <w:b/>
        </w:rPr>
        <w:t>五、</w:t>
      </w:r>
      <w:r>
        <w:rPr>
          <w:rFonts w:hint="eastAsia" w:ascii="Times New Roman" w:hAnsi="Times New Roman"/>
          <w:b/>
        </w:rPr>
        <w:t>响应</w:t>
      </w:r>
      <w:r>
        <w:rPr>
          <w:rFonts w:ascii="Times New Roman" w:hAnsi="Times New Roman"/>
          <w:b/>
        </w:rPr>
        <w:t>文件的递交</w:t>
      </w:r>
    </w:p>
    <w:p>
      <w:pPr>
        <w:pStyle w:val="30"/>
        <w:spacing w:line="360" w:lineRule="auto"/>
        <w:ind w:firstLine="480"/>
        <w:rPr>
          <w:rFonts w:ascii="Times New Roman" w:hAnsi="Times New Roman"/>
        </w:rPr>
      </w:pPr>
      <w:r>
        <w:rPr>
          <w:rFonts w:ascii="Times New Roman" w:hAnsi="Times New Roman"/>
        </w:rPr>
        <w:t>1、递交响应文件时间：20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6</w:t>
      </w:r>
      <w:r>
        <w:rPr>
          <w:rFonts w:ascii="Times New Roman" w:hAnsi="Times New Roman"/>
        </w:rPr>
        <w:t>日</w:t>
      </w:r>
      <w:r>
        <w:rPr>
          <w:rFonts w:hint="eastAsia" w:ascii="Times New Roman" w:hAnsi="Times New Roman"/>
          <w:lang w:val="en-US" w:eastAsia="zh-CN"/>
        </w:rPr>
        <w:t>13</w:t>
      </w:r>
      <w:r>
        <w:rPr>
          <w:rFonts w:hint="eastAsia" w:ascii="Times New Roman" w:hAnsi="Times New Roman"/>
        </w:rPr>
        <w:t>:</w:t>
      </w:r>
      <w:r>
        <w:rPr>
          <w:rFonts w:ascii="Times New Roman" w:hAnsi="Times New Roman"/>
        </w:rPr>
        <w:t>30-</w:t>
      </w:r>
      <w:r>
        <w:rPr>
          <w:rFonts w:hint="eastAsia" w:ascii="Times New Roman" w:hAnsi="Times New Roman"/>
          <w:lang w:val="en-US" w:eastAsia="zh-CN"/>
        </w:rPr>
        <w:t>14</w:t>
      </w:r>
      <w:r>
        <w:rPr>
          <w:rFonts w:ascii="Times New Roman" w:hAnsi="Times New Roman"/>
        </w:rPr>
        <w:t>:00（北京时间）。</w:t>
      </w:r>
    </w:p>
    <w:p>
      <w:pPr>
        <w:pStyle w:val="30"/>
        <w:spacing w:line="360" w:lineRule="auto"/>
        <w:ind w:firstLine="480"/>
        <w:rPr>
          <w:rFonts w:ascii="Times New Roman" w:hAnsi="Times New Roman"/>
        </w:rPr>
      </w:pPr>
      <w:r>
        <w:rPr>
          <w:rFonts w:ascii="Times New Roman" w:hAnsi="Times New Roman"/>
        </w:rPr>
        <w:t>2、递交响应文件截止时间：20</w:t>
      </w:r>
      <w:r>
        <w:rPr>
          <w:rFonts w:hint="eastAsia" w:ascii="Times New Roman" w:hAnsi="Times New Roman"/>
        </w:rPr>
        <w:t>2</w:t>
      </w:r>
      <w:r>
        <w:rPr>
          <w:rFonts w:hint="eastAsia" w:ascii="Times New Roman" w:hAnsi="Times New Roman"/>
          <w:lang w:val="en-US" w:eastAsia="zh-CN"/>
        </w:rPr>
        <w:t>3</w:t>
      </w:r>
      <w:r>
        <w:rPr>
          <w:rFonts w:ascii="Times New Roman" w:hAnsi="Times New Roman"/>
        </w:rPr>
        <w:t>年</w:t>
      </w:r>
      <w:r>
        <w:rPr>
          <w:rFonts w:hint="eastAsia" w:ascii="Times New Roman" w:hAnsi="Times New Roman"/>
          <w:lang w:val="en-US" w:eastAsia="zh-CN"/>
        </w:rPr>
        <w:t>7</w:t>
      </w:r>
      <w:r>
        <w:rPr>
          <w:rFonts w:ascii="Times New Roman" w:hAnsi="Times New Roman"/>
        </w:rPr>
        <w:t>月</w:t>
      </w:r>
      <w:r>
        <w:rPr>
          <w:rFonts w:hint="eastAsia" w:ascii="Times New Roman" w:hAnsi="Times New Roman"/>
          <w:lang w:val="en-US" w:eastAsia="zh-CN"/>
        </w:rPr>
        <w:t>6</w:t>
      </w:r>
      <w:r>
        <w:rPr>
          <w:rFonts w:ascii="Times New Roman" w:hAnsi="Times New Roman"/>
        </w:rPr>
        <w:t>日</w:t>
      </w:r>
      <w:r>
        <w:rPr>
          <w:rFonts w:hint="eastAsia" w:ascii="Times New Roman" w:hAnsi="Times New Roman"/>
          <w:lang w:val="en-US" w:eastAsia="zh-CN"/>
        </w:rPr>
        <w:t>14</w:t>
      </w:r>
      <w:r>
        <w:rPr>
          <w:rFonts w:ascii="Times New Roman" w:hAnsi="Times New Roman"/>
        </w:rPr>
        <w:t>:00（北京时间），逾期递交的响应文件不予接</w:t>
      </w:r>
      <w:r>
        <w:rPr>
          <w:rFonts w:hint="eastAsia" w:ascii="Times New Roman" w:hAnsi="Times New Roman"/>
        </w:rPr>
        <w:t>收</w:t>
      </w:r>
      <w:r>
        <w:rPr>
          <w:rFonts w:ascii="Times New Roman" w:hAnsi="Times New Roman"/>
        </w:rPr>
        <w:t>。</w:t>
      </w:r>
    </w:p>
    <w:p>
      <w:pPr>
        <w:pStyle w:val="30"/>
        <w:spacing w:line="360" w:lineRule="auto"/>
        <w:ind w:firstLine="480"/>
        <w:rPr>
          <w:rFonts w:ascii="Times New Roman" w:hAnsi="Times New Roman"/>
        </w:rPr>
      </w:pPr>
      <w:r>
        <w:rPr>
          <w:rFonts w:ascii="Times New Roman" w:hAnsi="Times New Roman"/>
        </w:rPr>
        <w:t>3、递交</w:t>
      </w:r>
      <w:r>
        <w:rPr>
          <w:rFonts w:hint="eastAsia" w:ascii="Times New Roman" w:hAnsi="Times New Roman"/>
        </w:rPr>
        <w:t>响应</w:t>
      </w:r>
      <w:r>
        <w:rPr>
          <w:rFonts w:ascii="Times New Roman" w:hAnsi="Times New Roman"/>
        </w:rPr>
        <w:t>文件地点：</w:t>
      </w:r>
      <w:r>
        <w:rPr>
          <w:rFonts w:hint="eastAsia" w:ascii="Times New Roman" w:hAnsi="Times New Roman"/>
          <w:lang w:eastAsia="zh-CN"/>
        </w:rPr>
        <w:t>济南市历下区经十路13777号中润世纪广场18号楼603A</w:t>
      </w:r>
      <w:r>
        <w:rPr>
          <w:rFonts w:ascii="Times New Roman" w:hAnsi="Times New Roman"/>
        </w:rPr>
        <w:t>。</w:t>
      </w:r>
    </w:p>
    <w:p>
      <w:pPr>
        <w:pStyle w:val="30"/>
        <w:spacing w:line="360" w:lineRule="auto"/>
        <w:ind w:firstLine="482"/>
        <w:rPr>
          <w:rFonts w:ascii="Times New Roman" w:hAnsi="Times New Roman"/>
          <w:b/>
        </w:rPr>
      </w:pPr>
      <w:r>
        <w:rPr>
          <w:rFonts w:ascii="Times New Roman" w:hAnsi="Times New Roman"/>
          <w:b/>
        </w:rPr>
        <w:t>六、采购人信息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山东第一医科大学（山东省医学科学院）</w:t>
      </w:r>
    </w:p>
    <w:p>
      <w:pPr>
        <w:pStyle w:val="30"/>
        <w:spacing w:line="360" w:lineRule="auto"/>
        <w:ind w:firstLine="482"/>
        <w:rPr>
          <w:rFonts w:ascii="Times New Roman" w:hAnsi="Times New Roman"/>
          <w:b/>
        </w:rPr>
      </w:pPr>
      <w:r>
        <w:rPr>
          <w:rFonts w:ascii="Times New Roman" w:hAnsi="Times New Roman"/>
          <w:b/>
        </w:rPr>
        <w:t>七、采购代理机构信息</w:t>
      </w:r>
    </w:p>
    <w:p>
      <w:pPr>
        <w:pStyle w:val="30"/>
        <w:spacing w:line="360" w:lineRule="auto"/>
        <w:ind w:firstLine="480"/>
        <w:rPr>
          <w:rFonts w:hint="eastAsia" w:ascii="Times New Roman" w:hAnsi="Times New Roman" w:eastAsia="仿宋"/>
          <w:lang w:eastAsia="zh-CN"/>
        </w:rPr>
      </w:pPr>
      <w:r>
        <w:rPr>
          <w:rFonts w:ascii="Times New Roman" w:hAnsi="Times New Roman"/>
        </w:rPr>
        <w:t>1、名称：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ascii="Times New Roman" w:hAnsi="Times New Roman"/>
        </w:rPr>
        <w:t>2、地址：</w:t>
      </w:r>
      <w:r>
        <w:rPr>
          <w:rFonts w:hint="eastAsia" w:ascii="Times New Roman" w:hAnsi="Times New Roman"/>
          <w:lang w:eastAsia="zh-CN"/>
        </w:rPr>
        <w:t>济南市历下区经十路13777号中润世纪广场18号楼603A</w:t>
      </w:r>
    </w:p>
    <w:p>
      <w:pPr>
        <w:pStyle w:val="30"/>
        <w:spacing w:line="360" w:lineRule="auto"/>
        <w:ind w:firstLine="480"/>
        <w:rPr>
          <w:rFonts w:hint="eastAsia" w:ascii="Times New Roman" w:hAnsi="Times New Roman" w:eastAsia="仿宋"/>
          <w:lang w:eastAsia="zh-CN"/>
        </w:rPr>
      </w:pPr>
      <w:r>
        <w:rPr>
          <w:rFonts w:ascii="Times New Roman" w:hAnsi="Times New Roman"/>
        </w:rPr>
        <w:t>3、项目联系人：</w:t>
      </w:r>
      <w:r>
        <w:rPr>
          <w:rFonts w:hint="eastAsia" w:ascii="Times New Roman" w:hAnsi="Times New Roman"/>
          <w:lang w:eastAsia="zh-CN"/>
        </w:rPr>
        <w:t>于美玲</w:t>
      </w:r>
      <w:r>
        <w:rPr>
          <w:rFonts w:hint="eastAsia" w:ascii="Times New Roman" w:hAnsi="Times New Roman"/>
        </w:rPr>
        <w:t>、</w:t>
      </w:r>
      <w:r>
        <w:rPr>
          <w:rFonts w:hint="eastAsia" w:ascii="Times New Roman" w:hAnsi="Times New Roman"/>
          <w:lang w:eastAsia="zh-CN"/>
        </w:rPr>
        <w:t>葛东银</w:t>
      </w:r>
    </w:p>
    <w:p>
      <w:pPr>
        <w:pStyle w:val="30"/>
        <w:spacing w:line="360" w:lineRule="auto"/>
        <w:ind w:firstLine="480"/>
        <w:rPr>
          <w:rFonts w:hint="default" w:ascii="Times New Roman" w:hAnsi="Times New Roman" w:eastAsia="仿宋"/>
          <w:lang w:val="en-US" w:eastAsia="zh-CN"/>
        </w:rPr>
      </w:pPr>
      <w:r>
        <w:rPr>
          <w:rFonts w:ascii="Times New Roman" w:hAnsi="Times New Roman"/>
        </w:rPr>
        <w:t>4、</w:t>
      </w:r>
      <w:r>
        <w:rPr>
          <w:rFonts w:hint="eastAsia" w:ascii="Times New Roman" w:hAnsi="Times New Roman"/>
        </w:rPr>
        <w:t>报名咨询电话：</w:t>
      </w:r>
      <w:r>
        <w:rPr>
          <w:rFonts w:hint="eastAsia" w:ascii="仿宋" w:hAnsi="仿宋" w:cs="仿宋"/>
          <w:color w:val="auto"/>
          <w:sz w:val="24"/>
          <w:highlight w:val="none"/>
          <w:lang w:val="en-US" w:eastAsia="zh-CN"/>
        </w:rPr>
        <w:t xml:space="preserve"> 19861051518</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5</w:t>
      </w:r>
      <w:r>
        <w:rPr>
          <w:rFonts w:ascii="Times New Roman" w:hAnsi="Times New Roman"/>
        </w:rPr>
        <w:t>、开户名称：</w:t>
      </w:r>
      <w:r>
        <w:rPr>
          <w:rFonts w:hint="eastAsia" w:ascii="Times New Roman" w:hAnsi="Times New Roman"/>
          <w:lang w:eastAsia="zh-CN"/>
        </w:rPr>
        <w:t>山东华仁永旺招标有限公司</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6</w:t>
      </w:r>
      <w:r>
        <w:rPr>
          <w:rFonts w:ascii="Times New Roman" w:hAnsi="Times New Roman"/>
        </w:rPr>
        <w:t>、开户银行：</w:t>
      </w:r>
      <w:r>
        <w:rPr>
          <w:rFonts w:hint="eastAsia" w:ascii="Times New Roman" w:hAnsi="Times New Roman"/>
          <w:lang w:eastAsia="zh-CN"/>
        </w:rPr>
        <w:t>中国工商银行济南高新支行</w:t>
      </w:r>
    </w:p>
    <w:p>
      <w:pPr>
        <w:pStyle w:val="30"/>
        <w:spacing w:line="360" w:lineRule="auto"/>
        <w:ind w:firstLine="480"/>
        <w:rPr>
          <w:rFonts w:hint="eastAsia" w:ascii="Times New Roman" w:hAnsi="Times New Roman" w:eastAsia="仿宋"/>
          <w:lang w:eastAsia="zh-CN"/>
        </w:rPr>
      </w:pPr>
      <w:r>
        <w:rPr>
          <w:rFonts w:hint="eastAsia" w:ascii="Times New Roman" w:hAnsi="Times New Roman"/>
        </w:rPr>
        <w:t>7</w:t>
      </w:r>
      <w:r>
        <w:rPr>
          <w:rFonts w:ascii="Times New Roman" w:hAnsi="Times New Roman"/>
        </w:rPr>
        <w:t>、账    号：</w:t>
      </w:r>
      <w:r>
        <w:rPr>
          <w:rFonts w:hint="eastAsia" w:ascii="Times New Roman" w:hAnsi="Times New Roman"/>
          <w:lang w:eastAsia="zh-CN"/>
        </w:rPr>
        <w:t>1602023609200296250</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rPr>
          <w:rFonts w:hint="eastAsia" w:ascii="Times New Roman" w:hAnsi="Times New Roman"/>
          <w:b/>
          <w:sz w:val="32"/>
          <w:szCs w:val="32"/>
        </w:rPr>
      </w:pPr>
      <w:bookmarkStart w:id="1" w:name="_Toc81467278"/>
      <w:r>
        <w:rPr>
          <w:rFonts w:hint="eastAsia"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r>
        <w:rPr>
          <w:rFonts w:hint="eastAsia" w:ascii="Times New Roman" w:hAnsi="Times New Roman"/>
          <w:b/>
          <w:sz w:val="32"/>
          <w:szCs w:val="32"/>
        </w:rPr>
        <w:t>第六部分  供应商须知附表</w:t>
      </w:r>
      <w:bookmarkEnd w:id="1"/>
    </w:p>
    <w:tbl>
      <w:tblPr>
        <w:tblStyle w:val="21"/>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7"/>
        <w:gridCol w:w="1843"/>
        <w:gridCol w:w="7114"/>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内容</w:t>
            </w:r>
          </w:p>
        </w:tc>
        <w:tc>
          <w:tcPr>
            <w:tcW w:w="7114" w:type="dxa"/>
            <w:vAlign w:val="center"/>
          </w:tcPr>
          <w:p>
            <w:pPr>
              <w:spacing w:line="360" w:lineRule="auto"/>
              <w:ind w:firstLine="0" w:firstLineChars="0"/>
              <w:jc w:val="center"/>
              <w:rPr>
                <w:rFonts w:ascii="Times New Roman" w:hAnsi="Times New Roman"/>
                <w:b/>
                <w:szCs w:val="24"/>
              </w:rPr>
            </w:pPr>
            <w:r>
              <w:rPr>
                <w:rFonts w:ascii="Times New Roman" w:hAnsi="Times New Roman"/>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1</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采购人</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名称：</w:t>
            </w:r>
            <w:r>
              <w:rPr>
                <w:rFonts w:hint="eastAsia" w:ascii="Times New Roman" w:hAnsi="Times New Roman"/>
                <w:szCs w:val="24"/>
                <w:lang w:eastAsia="zh-CN"/>
              </w:rPr>
              <w:t>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2</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采购代理机构</w:t>
            </w:r>
          </w:p>
        </w:tc>
        <w:tc>
          <w:tcPr>
            <w:tcW w:w="7114" w:type="dxa"/>
            <w:vAlign w:val="center"/>
          </w:tcPr>
          <w:p>
            <w:pPr>
              <w:spacing w:line="360" w:lineRule="auto"/>
              <w:ind w:firstLine="0" w:firstLineChars="0"/>
              <w:rPr>
                <w:rFonts w:hint="eastAsia" w:ascii="Times New Roman" w:hAnsi="Times New Roman" w:eastAsia="仿宋"/>
                <w:lang w:eastAsia="zh-CN"/>
              </w:rPr>
            </w:pPr>
            <w:r>
              <w:rPr>
                <w:rFonts w:ascii="Times New Roman" w:hAnsi="Times New Roman"/>
              </w:rPr>
              <w:t>名称：</w:t>
            </w:r>
            <w:r>
              <w:rPr>
                <w:rFonts w:hint="eastAsia" w:ascii="Times New Roman" w:hAnsi="Times New Roman"/>
                <w:lang w:eastAsia="zh-CN"/>
              </w:rPr>
              <w:t>山东华仁永旺招标有限公司</w:t>
            </w:r>
          </w:p>
          <w:p>
            <w:pPr>
              <w:spacing w:line="360" w:lineRule="auto"/>
              <w:ind w:firstLine="0" w:firstLineChars="0"/>
              <w:rPr>
                <w:rFonts w:hint="eastAsia" w:ascii="Times New Roman" w:hAnsi="Times New Roman" w:eastAsia="仿宋"/>
                <w:lang w:eastAsia="zh-CN"/>
              </w:rPr>
            </w:pPr>
            <w:r>
              <w:rPr>
                <w:rFonts w:ascii="Times New Roman" w:hAnsi="Times New Roman"/>
              </w:rPr>
              <w:t>地址：</w:t>
            </w:r>
            <w:r>
              <w:rPr>
                <w:rFonts w:hint="eastAsia" w:ascii="Times New Roman" w:hAnsi="Times New Roman"/>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1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供应商特定资格要求</w:t>
            </w:r>
          </w:p>
        </w:tc>
        <w:tc>
          <w:tcPr>
            <w:tcW w:w="7114" w:type="dxa"/>
            <w:vAlign w:val="center"/>
          </w:tcPr>
          <w:p>
            <w:pPr>
              <w:spacing w:line="360" w:lineRule="auto"/>
              <w:ind w:firstLine="0" w:firstLineChars="0"/>
              <w:rPr>
                <w:rFonts w:ascii="Times New Roman" w:hAnsi="Times New Roman"/>
              </w:rPr>
            </w:pPr>
            <w:r>
              <w:rPr>
                <w:rFonts w:hint="eastAsia" w:ascii="仿宋" w:hAnsi="仿宋" w:eastAsia="仿宋" w:cs="仿宋"/>
                <w:color w:val="auto"/>
                <w:sz w:val="24"/>
                <w:szCs w:val="24"/>
                <w:highlight w:val="none"/>
                <w:lang w:val="en-US" w:eastAsia="zh-CN"/>
              </w:rPr>
              <w:t>进口产品需提供产品授权；（所投产品为进口产品的）</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rPr>
                <w:rFonts w:ascii="Times New Roman" w:hAnsi="Times New Roman"/>
              </w:rPr>
            </w:pPr>
            <w:r>
              <w:rPr>
                <w:rFonts w:hint="eastAsia" w:ascii="Times New Roman" w:hAnsi="Times New Roman"/>
              </w:rPr>
              <w:t>37000000014006520230112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rPr>
              <w:t>资金性质</w:t>
            </w:r>
          </w:p>
        </w:tc>
        <w:tc>
          <w:tcPr>
            <w:tcW w:w="7114" w:type="dxa"/>
            <w:vAlign w:val="center"/>
          </w:tcPr>
          <w:p>
            <w:pPr>
              <w:spacing w:line="360" w:lineRule="auto"/>
              <w:ind w:firstLine="0" w:firstLineChars="0"/>
              <w:jc w:val="both"/>
              <w:rPr>
                <w:rFonts w:ascii="Times New Roman" w:hAnsi="Times New Roman"/>
              </w:rPr>
            </w:pPr>
            <w:r>
              <w:rPr>
                <w:rFonts w:hint="eastAsia" w:ascii="仿宋" w:hAnsi="仿宋" w:eastAsia="仿宋" w:cs="仿宋"/>
                <w:sz w:val="24"/>
                <w:szCs w:val="24"/>
                <w:lang w:val="en-US" w:eastAsia="zh-CN"/>
              </w:rPr>
              <w:t>已落实</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6</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采购方式</w:t>
            </w:r>
          </w:p>
        </w:tc>
        <w:tc>
          <w:tcPr>
            <w:tcW w:w="7114" w:type="dxa"/>
            <w:vAlign w:val="center"/>
          </w:tcPr>
          <w:p>
            <w:pPr>
              <w:spacing w:line="360" w:lineRule="auto"/>
              <w:ind w:firstLine="0" w:firstLineChars="0"/>
              <w:jc w:val="both"/>
              <w:rPr>
                <w:rFonts w:ascii="Times New Roman" w:hAnsi="Times New Roman"/>
              </w:rPr>
            </w:pPr>
            <w:r>
              <w:rPr>
                <w:rFonts w:hint="eastAsia" w:ascii="Times New Roman" w:hAnsi="Times New Roman"/>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供应商有疑问需要采购人解答的须在磋商文件发售截止次日12:00之前发送到</w:t>
            </w:r>
            <w:r>
              <w:rPr>
                <w:rFonts w:hint="eastAsia" w:ascii="Times New Roman" w:hAnsi="Times New Roman"/>
                <w:lang w:eastAsia="zh-CN"/>
              </w:rPr>
              <w:t>sdhryw@126.com</w:t>
            </w:r>
            <w:r>
              <w:rPr>
                <w:rFonts w:hint="eastAsia" w:ascii="Times New Roman" w:hAnsi="Times New Roman"/>
              </w:rPr>
              <w:t>，注明邮件主题为XXX公司关于XXX项目X包的疑问，并电话告知采购代理机构（</w:t>
            </w:r>
            <w:r>
              <w:rPr>
                <w:rFonts w:hint="eastAsia" w:ascii="Times New Roman" w:hAnsi="Times New Roman"/>
                <w:lang w:eastAsia="zh-CN"/>
              </w:rPr>
              <w:t>0531-88589237</w:t>
            </w:r>
            <w:r>
              <w:rPr>
                <w:rFonts w:hint="eastAsia" w:ascii="Times New Roman" w:hAnsi="Times New Roman"/>
              </w:rPr>
              <w:t>），逾期不再接收。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ascii="Times New Roman" w:hAnsi="Times New Roman"/>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rPr>
            </w:pPr>
            <w:r>
              <w:rPr>
                <w:rFonts w:hint="eastAsia" w:ascii="Times New Roman" w:hAnsi="Times New Roman"/>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9</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是否专门面向中小微企业采购</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10</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中小企业划分标准中采购标的所属行业</w:t>
            </w:r>
          </w:p>
        </w:tc>
        <w:tc>
          <w:tcPr>
            <w:tcW w:w="7114" w:type="dxa"/>
            <w:vAlign w:val="center"/>
          </w:tcPr>
          <w:p>
            <w:pPr>
              <w:spacing w:line="360" w:lineRule="auto"/>
              <w:ind w:firstLine="0" w:firstLineChars="0"/>
              <w:jc w:val="both"/>
              <w:rPr>
                <w:rFonts w:hint="eastAsia" w:ascii="Times New Roman" w:hAnsi="Times New Roman" w:eastAsia="仿宋"/>
                <w:lang w:eastAsia="zh-CN"/>
              </w:rPr>
            </w:pPr>
            <w:r>
              <w:rPr>
                <w:rFonts w:hint="eastAsia" w:ascii="Times New Roman" w:hAnsi="Times New Roman"/>
                <w:lang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是否允许分包、转包</w:t>
            </w:r>
          </w:p>
        </w:tc>
        <w:tc>
          <w:tcPr>
            <w:tcW w:w="7114" w:type="dxa"/>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是</w:t>
            </w:r>
          </w:p>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hint="eastAsia" w:ascii="Times New Roman" w:hAnsi="Times New Roman"/>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jc w:val="both"/>
              <w:rPr>
                <w:rFonts w:ascii="Times New Roman" w:hAnsi="Times New Roman"/>
              </w:rPr>
            </w:pPr>
            <w:r>
              <w:rPr>
                <w:rFonts w:hint="eastAsia" w:ascii="Times New Roman" w:hAnsi="Times New Roman"/>
                <w:lang w:eastAsia="zh-CN"/>
              </w:rPr>
              <w:t>☑</w:t>
            </w:r>
            <w:r>
              <w:rPr>
                <w:rFonts w:ascii="Times New Roman" w:hAnsi="Times New Roman"/>
              </w:rPr>
              <w:t>不允许</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ascii="Times New Roman" w:hAnsi="Times New Roman"/>
                <w:szCs w:val="24"/>
              </w:rPr>
              <w:t>允许，备选报价方案的编制要求、评</w:t>
            </w:r>
            <w:r>
              <w:rPr>
                <w:rFonts w:hint="eastAsia" w:ascii="Times New Roman" w:hAnsi="Times New Roman"/>
                <w:szCs w:val="24"/>
              </w:rPr>
              <w:t>审</w:t>
            </w:r>
            <w:r>
              <w:rPr>
                <w:rFonts w:ascii="Times New Roman" w:hAnsi="Times New Roman"/>
                <w:szCs w:val="24"/>
              </w:rPr>
              <w:t>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不需提交样品</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不需演示</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Times New Roman" w:hAnsi="Times New Roman"/>
              </w:rPr>
            </w:pPr>
            <w:r>
              <w:rPr>
                <w:rFonts w:hint="eastAsia" w:ascii="Times New Roman" w:hAnsi="Times New Roman"/>
                <w:lang w:eastAsia="zh-CN"/>
              </w:rPr>
              <w:t>☑</w:t>
            </w:r>
            <w:r>
              <w:rPr>
                <w:rFonts w:hint="eastAsia" w:ascii="Times New Roman" w:hAnsi="Times New Roman"/>
              </w:rPr>
              <w:t>不组织</w:t>
            </w:r>
          </w:p>
          <w:p>
            <w:pPr>
              <w:adjustRightInd w:val="0"/>
              <w:snapToGrid w:val="0"/>
              <w:spacing w:line="360" w:lineRule="auto"/>
              <w:ind w:firstLine="0" w:firstLineChars="0"/>
              <w:rPr>
                <w:rFonts w:ascii="Times New Roman" w:hAnsi="Times New Roman"/>
                <w:szCs w:val="24"/>
              </w:rPr>
            </w:pPr>
            <w:r>
              <w:rPr>
                <w:rFonts w:ascii="Times New Roman" w:hAnsi="Times New Roman"/>
                <w:sz w:val="36"/>
              </w:rPr>
              <w:t>□</w:t>
            </w:r>
            <w:r>
              <w:rPr>
                <w:rFonts w:hint="eastAsia" w:ascii="Times New Roman" w:hAnsi="Times New Roman"/>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是</w:t>
            </w:r>
          </w:p>
          <w:p>
            <w:pPr>
              <w:adjustRightInd w:val="0"/>
              <w:snapToGrid w:val="0"/>
              <w:spacing w:line="360" w:lineRule="auto"/>
              <w:ind w:firstLine="0" w:firstLineChars="0"/>
              <w:rPr>
                <w:rFonts w:ascii="Wingdings 2" w:hAnsi="Wingdings 2"/>
              </w:rPr>
            </w:pPr>
            <w:r>
              <w:rPr>
                <w:rFonts w:hint="eastAsia" w:ascii="Wingdings 2" w:hAnsi="Wingdings 2"/>
                <w:lang w:eastAsia="zh-CN"/>
              </w:rPr>
              <w:t>☑</w:t>
            </w:r>
            <w:r>
              <w:rPr>
                <w:rFonts w:hint="eastAsia" w:ascii="Wingdings 2" w:hAnsi="Wingdings 2"/>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60" w:lineRule="auto"/>
              <w:ind w:firstLine="0" w:firstLineChars="0"/>
              <w:rPr>
                <w:rFonts w:ascii="Wingdings 2" w:hAnsi="Wingdings 2"/>
              </w:rPr>
            </w:pPr>
            <w:r>
              <w:rPr>
                <w:rFonts w:hint="eastAsia" w:ascii="Wingdings 2" w:hAnsi="Wingdings 2"/>
              </w:rPr>
              <w:t>通过资格性审查和符合性审查的供应商有再次报价的机会，但每一次报价均应以书面形式确认，价格的评审以最终报价为准。</w:t>
            </w:r>
          </w:p>
          <w:p>
            <w:pPr>
              <w:adjustRightInd w:val="0"/>
              <w:snapToGrid w:val="0"/>
              <w:spacing w:line="360" w:lineRule="auto"/>
              <w:ind w:firstLine="0" w:firstLineChars="0"/>
              <w:rPr>
                <w:rFonts w:ascii="Wingdings 2" w:hAnsi="Wingdings 2"/>
                <w:b/>
              </w:rPr>
            </w:pPr>
            <w:r>
              <w:rPr>
                <w:rFonts w:hint="eastAsia" w:ascii="Wingdings 2" w:hAnsi="Wingdings 2"/>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19</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报价方式</w:t>
            </w:r>
          </w:p>
        </w:tc>
        <w:tc>
          <w:tcPr>
            <w:tcW w:w="7114" w:type="dxa"/>
            <w:vAlign w:val="center"/>
          </w:tcPr>
          <w:p>
            <w:pPr>
              <w:spacing w:line="360" w:lineRule="auto"/>
              <w:ind w:firstLine="0" w:firstLineChars="0"/>
              <w:jc w:val="both"/>
              <w:rPr>
                <w:rFonts w:hint="eastAsia" w:ascii="Times New Roman" w:hAnsi="Times New Roman"/>
              </w:rPr>
            </w:pPr>
            <w:r>
              <w:rPr>
                <w:rFonts w:hint="eastAsia" w:ascii="Times New Roman" w:hAnsi="Times New Roman"/>
              </w:rPr>
              <w:t>本项目为交钥匙工程。</w:t>
            </w:r>
          </w:p>
          <w:p>
            <w:pPr>
              <w:spacing w:line="360" w:lineRule="auto"/>
              <w:ind w:firstLine="0" w:firstLineChars="0"/>
              <w:jc w:val="both"/>
              <w:rPr>
                <w:rFonts w:hint="eastAsia" w:ascii="Times New Roman" w:hAnsi="Times New Roman"/>
              </w:rPr>
            </w:pPr>
            <w:r>
              <w:rPr>
                <w:rFonts w:hint="eastAsia" w:ascii="Times New Roman" w:hAnsi="Times New Roman"/>
              </w:rPr>
              <w:t>本项目</w:t>
            </w:r>
            <w:r>
              <w:rPr>
                <w:rFonts w:hint="eastAsia" w:ascii="Times New Roman" w:hAnsi="Times New Roman"/>
                <w:lang w:eastAsia="zh-CN"/>
              </w:rPr>
              <w:t>非一次性报价</w:t>
            </w:r>
            <w:r>
              <w:rPr>
                <w:rFonts w:hint="eastAsia" w:ascii="Times New Roman" w:hAnsi="Times New Roman"/>
              </w:rPr>
              <w:t>。</w:t>
            </w:r>
          </w:p>
          <w:p>
            <w:pPr>
              <w:spacing w:line="360" w:lineRule="auto"/>
              <w:ind w:firstLine="0" w:firstLineChars="0"/>
              <w:jc w:val="both"/>
              <w:rPr>
                <w:rFonts w:ascii="Times New Roman" w:hAnsi="Times New Roman"/>
              </w:rPr>
            </w:pPr>
            <w:r>
              <w:rPr>
                <w:rFonts w:hint="eastAsia" w:ascii="Times New Roman" w:hAnsi="Times New Roman"/>
              </w:rPr>
              <w:t>国产设备：人民币完税报价；</w:t>
            </w:r>
            <w:r>
              <w:rPr>
                <w:rFonts w:ascii="Times New Roman" w:hAnsi="Times New Roman"/>
              </w:rPr>
              <w:t xml:space="preserve"> </w:t>
            </w:r>
          </w:p>
          <w:p>
            <w:pPr>
              <w:spacing w:line="360" w:lineRule="auto"/>
              <w:ind w:firstLine="0" w:firstLineChars="0"/>
              <w:jc w:val="both"/>
              <w:rPr>
                <w:rFonts w:ascii="Times New Roman" w:hAnsi="Times New Roman"/>
              </w:rPr>
            </w:pPr>
            <w:r>
              <w:rPr>
                <w:rFonts w:hint="eastAsia" w:ascii="Times New Roman" w:hAnsi="Times New Roman"/>
              </w:rPr>
              <w:t>进口非免税设备：人民币完税报价。（进口设备报价须包含惩罚性关税，惩罚性关税+投标报价+外贸代理费不可超出分包预算；</w:t>
            </w:r>
            <w:r>
              <w:rPr>
                <w:rFonts w:hint="eastAsia" w:ascii="Times New Roman" w:hAnsi="Times New Roman"/>
                <w:lang w:eastAsia="zh-CN"/>
              </w:rPr>
              <w:t>成交供应商</w:t>
            </w:r>
            <w:r>
              <w:rPr>
                <w:rFonts w:hint="eastAsia" w:ascii="Times New Roman" w:hAnsi="Times New Roman"/>
              </w:rPr>
              <w:t>承担相应的关税风险，所有报价应包括设备费、包装、运输、服务、备件、卸车、保管、安装、检验、验收、策划、设计及其他附带服务的费用、利润以及质保期内的售后服务及磋商文件明示或隐含的全部费用）。</w:t>
            </w:r>
          </w:p>
          <w:p>
            <w:pPr>
              <w:spacing w:line="360" w:lineRule="auto"/>
              <w:ind w:firstLine="0" w:firstLineChars="0"/>
              <w:jc w:val="both"/>
              <w:rPr>
                <w:rFonts w:ascii="Times New Roman" w:hAnsi="Times New Roman"/>
              </w:rPr>
            </w:pPr>
            <w:r>
              <w:rPr>
                <w:rFonts w:hint="eastAsia" w:ascii="Times New Roman" w:hAnsi="Times New Roman"/>
              </w:rPr>
              <w:t>本项目采用全费用报价方式，供应商在报价时应充分考虑市场环境和生产要素价格变化对合同价的影响，可考虑一定的风险系数；所填报价格在合同实施间不因市场变化（或政策性）因素而变动。</w:t>
            </w:r>
          </w:p>
          <w:p>
            <w:pPr>
              <w:spacing w:line="360" w:lineRule="auto"/>
              <w:ind w:firstLine="0" w:firstLineChars="0"/>
              <w:jc w:val="both"/>
              <w:rPr>
                <w:rFonts w:ascii="Times New Roman" w:hAnsi="Times New Roman"/>
              </w:rPr>
            </w:pPr>
            <w:r>
              <w:rPr>
                <w:rFonts w:hint="eastAsia" w:ascii="Times New Roman" w:hAnsi="Times New Roman"/>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spacing w:line="360" w:lineRule="auto"/>
              <w:ind w:firstLine="0" w:firstLineChars="0"/>
              <w:jc w:val="both"/>
              <w:rPr>
                <w:rFonts w:ascii="Times New Roman" w:hAnsi="Times New Roman"/>
              </w:rPr>
            </w:pPr>
            <w:r>
              <w:rPr>
                <w:rFonts w:hint="eastAsia" w:ascii="Times New Roman" w:hAnsi="Times New Roman"/>
              </w:rPr>
              <w:t>上述费用描述须包括所有采购材料到指定交货地点的所有费用，采购人不支付除供应商报价的任何附加费用。最终结算以单价为准，数量若有调整，其单价不变，据实结算。</w:t>
            </w:r>
          </w:p>
          <w:p>
            <w:pPr>
              <w:spacing w:line="360" w:lineRule="auto"/>
              <w:ind w:firstLine="0" w:firstLineChars="0"/>
              <w:jc w:val="both"/>
              <w:rPr>
                <w:rFonts w:ascii="Times New Roman" w:hAnsi="Times New Roman"/>
              </w:rPr>
            </w:pPr>
            <w:r>
              <w:rPr>
                <w:rFonts w:hint="eastAsia" w:ascii="Times New Roman" w:hAnsi="Times New Roman"/>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r>
              <w:rPr>
                <w:rFonts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spacing w:line="360" w:lineRule="auto"/>
              <w:ind w:firstLine="0" w:firstLineChars="0"/>
              <w:jc w:val="center"/>
              <w:rPr>
                <w:rFonts w:ascii="Times New Roman" w:hAnsi="Times New Roman"/>
                <w:szCs w:val="24"/>
                <w:highlight w:val="yellow"/>
              </w:rPr>
            </w:pPr>
            <w:r>
              <w:rPr>
                <w:rFonts w:hint="eastAsia" w:ascii="Times New Roman" w:hAnsi="Times New Roman"/>
                <w:szCs w:val="24"/>
              </w:rPr>
              <w:t>20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质保期</w:t>
            </w:r>
          </w:p>
        </w:tc>
        <w:tc>
          <w:tcPr>
            <w:tcW w:w="7114" w:type="dxa"/>
            <w:vAlign w:val="center"/>
          </w:tcPr>
          <w:p>
            <w:pPr>
              <w:spacing w:line="360" w:lineRule="auto"/>
              <w:ind w:firstLine="0" w:firstLineChars="0"/>
              <w:rPr>
                <w:rFonts w:ascii="Times New Roman" w:hAnsi="Times New Roman"/>
                <w:szCs w:val="24"/>
              </w:rPr>
            </w:pPr>
            <w:r>
              <w:rPr>
                <w:rFonts w:ascii="Times New Roman" w:hAnsi="Times New Roman"/>
                <w:kern w:val="0"/>
                <w:szCs w:val="24"/>
              </w:rPr>
              <w:t>详见磋商文件“第八部分  技术要求及说明”具体要求</w:t>
            </w:r>
            <w:r>
              <w:rPr>
                <w:rFonts w:hint="eastAsia" w:ascii="Times New Roman" w:hAnsi="Times New Roman"/>
                <w:kern w:val="0"/>
                <w:szCs w:val="24"/>
              </w:rPr>
              <w:t>。供应商可根据自身实际情况自报</w:t>
            </w:r>
            <w:r>
              <w:rPr>
                <w:rFonts w:ascii="Times New Roman" w:hAnsi="Times New Roman"/>
                <w:kern w:val="0"/>
                <w:szCs w:val="24"/>
              </w:rPr>
              <w:t>最长质保期</w:t>
            </w:r>
            <w:r>
              <w:rPr>
                <w:rFonts w:hint="eastAsia" w:ascii="Times New Roman" w:hAnsi="Times New Roman"/>
                <w:kern w:val="0"/>
                <w:szCs w:val="24"/>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21</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供货期</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p>
            <w:pPr>
              <w:adjustRightInd w:val="0"/>
              <w:snapToGrid w:val="0"/>
              <w:spacing w:line="360" w:lineRule="auto"/>
              <w:ind w:firstLine="0" w:firstLineChars="0"/>
              <w:rPr>
                <w:rFonts w:ascii="Times New Roman" w:hAnsi="Times New Roman"/>
                <w:szCs w:val="24"/>
              </w:rPr>
            </w:pPr>
            <w:r>
              <w:rPr>
                <w:rFonts w:hint="eastAsia" w:ascii="Times New Roman" w:hAnsi="Times New Roman"/>
              </w:rPr>
              <w:t>供应商</w:t>
            </w:r>
            <w:r>
              <w:rPr>
                <w:rFonts w:ascii="Times New Roman" w:hAnsi="Times New Roman"/>
              </w:rPr>
              <w:t>可根据自身实际情况自报最短</w:t>
            </w:r>
            <w:r>
              <w:rPr>
                <w:rFonts w:hint="eastAsia" w:ascii="Times New Roman" w:hAnsi="Times New Roman"/>
              </w:rPr>
              <w:t>供</w:t>
            </w:r>
            <w:r>
              <w:rPr>
                <w:rFonts w:ascii="Times New Roman" w:hAnsi="Times New Roman"/>
              </w:rPr>
              <w:t>货期</w:t>
            </w:r>
            <w:r>
              <w:rPr>
                <w:rFonts w:hint="eastAsia" w:ascii="Times New Roman" w:hAnsi="Times New Roman"/>
              </w:rPr>
              <w:t>。</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交货地点</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23</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磋商保证金</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24</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rPr>
              <w:t>付款方式及履约保证金</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hint="eastAsia" w:ascii="Times New Roman" w:hAnsi="Times New Roman"/>
                <w:szCs w:val="24"/>
              </w:rPr>
              <w:t>详见磋商文件“第八部分  技术要求及说明”具体要求。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25</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响应文件格式</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26</w:t>
            </w:r>
          </w:p>
        </w:tc>
        <w:tc>
          <w:tcPr>
            <w:tcW w:w="1843" w:type="dxa"/>
            <w:vAlign w:val="center"/>
          </w:tcPr>
          <w:p>
            <w:pPr>
              <w:adjustRightInd w:val="0"/>
              <w:snapToGrid w:val="0"/>
              <w:spacing w:line="360" w:lineRule="auto"/>
              <w:ind w:firstLine="0" w:firstLineChars="0"/>
              <w:jc w:val="center"/>
              <w:rPr>
                <w:rFonts w:ascii="Times New Roman" w:hAnsi="Times New Roman"/>
                <w:szCs w:val="24"/>
              </w:rPr>
            </w:pPr>
            <w:r>
              <w:rPr>
                <w:rFonts w:hint="eastAsia" w:ascii="Times New Roman" w:hAnsi="Times New Roman"/>
                <w:szCs w:val="24"/>
              </w:rPr>
              <w:t>响应</w:t>
            </w:r>
            <w:r>
              <w:rPr>
                <w:rFonts w:ascii="Times New Roman" w:hAnsi="Times New Roman"/>
                <w:szCs w:val="24"/>
              </w:rPr>
              <w:t>文件组成</w:t>
            </w:r>
            <w:r>
              <w:rPr>
                <w:rFonts w:hint="eastAsia" w:ascii="Times New Roman" w:hAnsi="Times New Roman"/>
                <w:szCs w:val="24"/>
              </w:rPr>
              <w:t>、</w:t>
            </w:r>
            <w:r>
              <w:rPr>
                <w:rFonts w:ascii="Times New Roman" w:hAnsi="Times New Roman"/>
                <w:szCs w:val="24"/>
              </w:rPr>
              <w:t>份数</w:t>
            </w:r>
            <w:r>
              <w:rPr>
                <w:rFonts w:hint="eastAsia" w:ascii="Times New Roman" w:hAnsi="Times New Roman"/>
                <w:szCs w:val="24"/>
              </w:rPr>
              <w:t>、</w:t>
            </w:r>
            <w:r>
              <w:rPr>
                <w:rFonts w:ascii="Times New Roman" w:hAnsi="Times New Roman"/>
                <w:szCs w:val="24"/>
              </w:rPr>
              <w:t>密封要求</w:t>
            </w:r>
          </w:p>
        </w:tc>
        <w:tc>
          <w:tcPr>
            <w:tcW w:w="7114" w:type="dxa"/>
            <w:vAlign w:val="center"/>
          </w:tcPr>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正本一份，副本</w:t>
            </w:r>
            <w:r>
              <w:rPr>
                <w:rFonts w:hint="eastAsia" w:ascii="Times New Roman" w:hAnsi="Times New Roman"/>
                <w:szCs w:val="24"/>
                <w:lang w:eastAsia="zh-CN"/>
              </w:rPr>
              <w:t>五</w:t>
            </w:r>
            <w:r>
              <w:rPr>
                <w:rFonts w:ascii="Times New Roman" w:hAnsi="Times New Roman"/>
                <w:szCs w:val="24"/>
              </w:rPr>
              <w:t>份，</w:t>
            </w:r>
            <w:r>
              <w:rPr>
                <w:rFonts w:hint="eastAsia" w:ascii="Times New Roman" w:hAnsi="Times New Roman"/>
                <w:szCs w:val="24"/>
              </w:rPr>
              <w:t>报价</w:t>
            </w:r>
            <w:r>
              <w:rPr>
                <w:rFonts w:ascii="Times New Roman" w:hAnsi="Times New Roman"/>
                <w:szCs w:val="24"/>
              </w:rPr>
              <w:t>一览表（一式三份），USB 接口设备存储的电子版</w:t>
            </w:r>
            <w:r>
              <w:rPr>
                <w:rFonts w:hint="eastAsia" w:ascii="Times New Roman" w:hAnsi="Times New Roman"/>
                <w:szCs w:val="24"/>
              </w:rPr>
              <w:t>响应</w:t>
            </w:r>
            <w:r>
              <w:rPr>
                <w:rFonts w:ascii="Times New Roman" w:hAnsi="Times New Roman"/>
                <w:szCs w:val="24"/>
              </w:rPr>
              <w:t>文件一份（要求：可编辑WORD 版本）。</w:t>
            </w:r>
          </w:p>
          <w:p>
            <w:pPr>
              <w:adjustRightInd w:val="0"/>
              <w:snapToGrid w:val="0"/>
              <w:spacing w:line="360" w:lineRule="auto"/>
              <w:ind w:firstLine="0" w:firstLineChars="0"/>
              <w:rPr>
                <w:rFonts w:ascii="Times New Roman" w:hAnsi="Times New Roman"/>
                <w:szCs w:val="24"/>
              </w:rPr>
            </w:pPr>
            <w:r>
              <w:rPr>
                <w:rFonts w:ascii="Times New Roman" w:hAnsi="Times New Roman"/>
                <w:szCs w:val="24"/>
              </w:rPr>
              <w:t>正本、副本</w:t>
            </w:r>
            <w:r>
              <w:rPr>
                <w:rFonts w:hint="eastAsia" w:ascii="Times New Roman" w:hAnsi="Times New Roman"/>
                <w:szCs w:val="24"/>
              </w:rPr>
              <w:t>、报价</w:t>
            </w:r>
            <w:r>
              <w:rPr>
                <w:rFonts w:ascii="Times New Roman" w:hAnsi="Times New Roman"/>
                <w:szCs w:val="24"/>
              </w:rPr>
              <w:t>一览表、电子版</w:t>
            </w:r>
            <w:r>
              <w:rPr>
                <w:rFonts w:hint="eastAsia" w:ascii="Times New Roman" w:hAnsi="Times New Roman"/>
                <w:szCs w:val="24"/>
              </w:rPr>
              <w:t>响应</w:t>
            </w:r>
            <w:r>
              <w:rPr>
                <w:rFonts w:ascii="Times New Roman" w:hAnsi="Times New Roman"/>
                <w:szCs w:val="24"/>
              </w:rPr>
              <w:t>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7"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27</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关于递交复印件的规定</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lang w:val="en-GB"/>
              </w:rPr>
              <w:t>28</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递交响应文件的时间和地点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7</w:t>
            </w:r>
            <w:r>
              <w:rPr>
                <w:rFonts w:ascii="Times New Roman" w:hAnsi="Times New Roman"/>
                <w:szCs w:val="24"/>
              </w:rPr>
              <w:t>月</w:t>
            </w:r>
            <w:r>
              <w:rPr>
                <w:rFonts w:hint="eastAsia" w:ascii="Times New Roman" w:hAnsi="Times New Roman"/>
                <w:szCs w:val="24"/>
                <w:lang w:val="en-US" w:eastAsia="zh-CN"/>
              </w:rPr>
              <w:t>6</w:t>
            </w:r>
            <w:r>
              <w:rPr>
                <w:rFonts w:ascii="Times New Roman" w:hAnsi="Times New Roman"/>
                <w:szCs w:val="24"/>
              </w:rPr>
              <w:t>日</w:t>
            </w:r>
            <w:r>
              <w:rPr>
                <w:rFonts w:hint="eastAsia" w:ascii="Times New Roman" w:hAnsi="Times New Roman"/>
                <w:szCs w:val="24"/>
                <w:lang w:val="en-US" w:eastAsia="zh-CN"/>
              </w:rPr>
              <w:t>13</w:t>
            </w:r>
            <w:r>
              <w:rPr>
                <w:rFonts w:ascii="Times New Roman" w:hAnsi="Times New Roman"/>
                <w:szCs w:val="24"/>
              </w:rPr>
              <w:t>:30-</w:t>
            </w:r>
            <w:r>
              <w:rPr>
                <w:rFonts w:hint="eastAsia" w:ascii="Times New Roman" w:hAnsi="Times New Roman"/>
                <w:szCs w:val="24"/>
                <w:lang w:val="en-US" w:eastAsia="zh-CN"/>
              </w:rPr>
              <w:t>14</w:t>
            </w:r>
            <w:r>
              <w:rPr>
                <w:rFonts w:ascii="Times New Roman" w:hAnsi="Times New Roman"/>
                <w:szCs w:val="24"/>
              </w:rPr>
              <w:t>:00（北京时间）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29</w:t>
            </w:r>
          </w:p>
        </w:tc>
        <w:tc>
          <w:tcPr>
            <w:tcW w:w="1843" w:type="dxa"/>
            <w:vAlign w:val="center"/>
          </w:tcPr>
          <w:p>
            <w:pPr>
              <w:spacing w:line="360" w:lineRule="auto"/>
              <w:ind w:firstLine="0" w:firstLineChars="0"/>
              <w:jc w:val="center"/>
              <w:rPr>
                <w:rFonts w:ascii="Times New Roman" w:hAnsi="Times New Roman"/>
                <w:szCs w:val="24"/>
              </w:rPr>
            </w:pPr>
            <w:r>
              <w:rPr>
                <w:rFonts w:hint="eastAsia" w:ascii="Times New Roman" w:hAnsi="Times New Roman"/>
                <w:szCs w:val="24"/>
              </w:rPr>
              <w:t>响应文件递交截止时间</w:t>
            </w:r>
            <w:r>
              <w:rPr>
                <w:rFonts w:ascii="Times New Roman" w:hAnsi="Times New Roman"/>
                <w:szCs w:val="24"/>
              </w:rPr>
              <w:t>和地点</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时间：202</w:t>
            </w:r>
            <w:r>
              <w:rPr>
                <w:rFonts w:hint="eastAsia" w:ascii="Times New Roman" w:hAnsi="Times New Roman"/>
                <w:szCs w:val="24"/>
                <w:lang w:val="en-US" w:eastAsia="zh-CN"/>
              </w:rPr>
              <w:t>3</w:t>
            </w:r>
            <w:r>
              <w:rPr>
                <w:rFonts w:ascii="Times New Roman" w:hAnsi="Times New Roman"/>
                <w:szCs w:val="24"/>
              </w:rPr>
              <w:t>年</w:t>
            </w:r>
            <w:r>
              <w:rPr>
                <w:rFonts w:hint="eastAsia" w:ascii="Times New Roman" w:hAnsi="Times New Roman"/>
                <w:szCs w:val="24"/>
                <w:lang w:val="en-US" w:eastAsia="zh-CN"/>
              </w:rPr>
              <w:t>7</w:t>
            </w:r>
            <w:r>
              <w:rPr>
                <w:rFonts w:ascii="Times New Roman" w:hAnsi="Times New Roman"/>
                <w:szCs w:val="24"/>
              </w:rPr>
              <w:t>月</w:t>
            </w:r>
            <w:r>
              <w:rPr>
                <w:rFonts w:hint="eastAsia" w:ascii="Times New Roman" w:hAnsi="Times New Roman"/>
                <w:szCs w:val="24"/>
                <w:lang w:val="en-US" w:eastAsia="zh-CN"/>
              </w:rPr>
              <w:t>6</w:t>
            </w:r>
            <w:r>
              <w:rPr>
                <w:rFonts w:ascii="Times New Roman" w:hAnsi="Times New Roman"/>
                <w:szCs w:val="24"/>
              </w:rPr>
              <w:t>日</w:t>
            </w:r>
            <w:r>
              <w:rPr>
                <w:rFonts w:hint="eastAsia" w:ascii="Times New Roman" w:hAnsi="Times New Roman"/>
                <w:szCs w:val="24"/>
                <w:lang w:val="en-US" w:eastAsia="zh-CN"/>
              </w:rPr>
              <w:t>14</w:t>
            </w:r>
            <w:r>
              <w:rPr>
                <w:rFonts w:ascii="Times New Roman" w:hAnsi="Times New Roman"/>
                <w:szCs w:val="24"/>
              </w:rPr>
              <w:t>:00（北京时间）</w:t>
            </w:r>
          </w:p>
          <w:p>
            <w:pPr>
              <w:spacing w:line="360" w:lineRule="auto"/>
              <w:ind w:firstLine="0" w:firstLineChars="0"/>
              <w:rPr>
                <w:rFonts w:hint="eastAsia" w:ascii="Times New Roman" w:hAnsi="Times New Roman" w:eastAsia="仿宋"/>
                <w:lang w:eastAsia="zh-CN"/>
              </w:rPr>
            </w:pPr>
            <w:r>
              <w:rPr>
                <w:rFonts w:ascii="Times New Roman" w:hAnsi="Times New Roman"/>
                <w:szCs w:val="24"/>
              </w:rPr>
              <w:t>地点：</w:t>
            </w:r>
            <w:r>
              <w:rPr>
                <w:rFonts w:hint="eastAsia" w:ascii="Times New Roman" w:hAnsi="Times New Roman"/>
                <w:szCs w:val="24"/>
                <w:lang w:eastAsia="zh-CN"/>
              </w:rPr>
              <w:t>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0</w:t>
            </w:r>
          </w:p>
        </w:tc>
        <w:tc>
          <w:tcPr>
            <w:tcW w:w="1843" w:type="dxa"/>
            <w:vAlign w:val="center"/>
          </w:tcPr>
          <w:p>
            <w:pPr>
              <w:spacing w:line="360" w:lineRule="auto"/>
              <w:ind w:firstLine="0" w:firstLineChars="0"/>
              <w:jc w:val="center"/>
              <w:rPr>
                <w:rFonts w:ascii="Times New Roman" w:hAnsi="Times New Roman"/>
                <w:szCs w:val="24"/>
              </w:rPr>
            </w:pPr>
            <w:r>
              <w:rPr>
                <w:rFonts w:ascii="Times New Roman" w:hAnsi="Times New Roman"/>
                <w:szCs w:val="24"/>
                <w:lang w:val="en-GB"/>
              </w:rPr>
              <w:t>检查响应文件的密封情况</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1</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成交服务费收取标准</w:t>
            </w:r>
          </w:p>
        </w:tc>
        <w:tc>
          <w:tcPr>
            <w:tcW w:w="7114" w:type="dxa"/>
            <w:vAlign w:val="center"/>
          </w:tcPr>
          <w:p>
            <w:pPr>
              <w:spacing w:line="360" w:lineRule="auto"/>
              <w:ind w:firstLine="0" w:firstLineChars="0"/>
              <w:jc w:val="both"/>
              <w:rPr>
                <w:rFonts w:ascii="Times New Roman" w:hAnsi="Times New Roman"/>
                <w:szCs w:val="24"/>
              </w:rPr>
            </w:pPr>
            <w:r>
              <w:rPr>
                <w:rFonts w:ascii="Times New Roman" w:hAnsi="Times New Roman"/>
                <w:szCs w:val="24"/>
              </w:rPr>
              <w:t>成交供应商须在</w:t>
            </w:r>
            <w:r>
              <w:rPr>
                <w:rFonts w:hint="eastAsia" w:ascii="Times New Roman" w:hAnsi="Times New Roman"/>
                <w:szCs w:val="24"/>
              </w:rPr>
              <w:t>成交</w:t>
            </w:r>
            <w:r>
              <w:rPr>
                <w:rFonts w:ascii="Times New Roman" w:hAnsi="Times New Roman"/>
                <w:szCs w:val="24"/>
              </w:rPr>
              <w:t>公告发出后5个工作日内向采购代理机构缴纳成交服务费</w:t>
            </w:r>
            <w:r>
              <w:rPr>
                <w:rFonts w:hint="eastAsia" w:ascii="Times New Roman" w:hAnsi="Times New Roman"/>
                <w:szCs w:val="24"/>
              </w:rPr>
              <w:t>，</w:t>
            </w:r>
            <w:r>
              <w:rPr>
                <w:rFonts w:ascii="Times New Roman" w:hAnsi="Times New Roman"/>
                <w:szCs w:val="24"/>
              </w:rPr>
              <w:t>成交服务费以</w:t>
            </w:r>
            <w:r>
              <w:rPr>
                <w:rFonts w:hint="eastAsia" w:ascii="Times New Roman" w:hAnsi="Times New Roman"/>
                <w:szCs w:val="24"/>
              </w:rPr>
              <w:t>成交</w:t>
            </w:r>
            <w:r>
              <w:rPr>
                <w:rFonts w:ascii="Times New Roman" w:hAnsi="Times New Roman"/>
                <w:szCs w:val="24"/>
              </w:rPr>
              <w:t>价格为计费基础，收费标准</w:t>
            </w:r>
            <w:r>
              <w:rPr>
                <w:rFonts w:hint="eastAsia" w:ascii="Times New Roman" w:hAnsi="Times New Roman"/>
                <w:szCs w:val="24"/>
              </w:rPr>
              <w:t>参照</w:t>
            </w:r>
            <w:r>
              <w:rPr>
                <w:rFonts w:ascii="Times New Roman" w:hAnsi="Times New Roman"/>
                <w:szCs w:val="24"/>
              </w:rPr>
              <w:t>“计价格[2002]1980号”</w:t>
            </w:r>
            <w:r>
              <w:rPr>
                <w:rFonts w:hint="eastAsia" w:ascii="Times New Roman" w:hAnsi="Times New Roman"/>
                <w:szCs w:val="24"/>
              </w:rPr>
              <w:t>规定</w:t>
            </w:r>
            <w:r>
              <w:rPr>
                <w:rFonts w:ascii="Times New Roman" w:hAnsi="Times New Roman"/>
                <w:szCs w:val="24"/>
              </w:rPr>
              <w:t>的</w:t>
            </w:r>
            <w:r>
              <w:rPr>
                <w:rFonts w:hint="eastAsia" w:ascii="Times New Roman" w:hAnsi="Times New Roman"/>
                <w:szCs w:val="24"/>
              </w:rPr>
              <w:t>80%收取</w:t>
            </w:r>
            <w:r>
              <w:rPr>
                <w:rFonts w:ascii="Times New Roman" w:hAnsi="Times New Roman"/>
                <w:szCs w:val="24"/>
              </w:rPr>
              <w:t>。</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开户名称：</w:t>
            </w:r>
            <w:r>
              <w:rPr>
                <w:rFonts w:hint="eastAsia" w:ascii="Times New Roman" w:hAnsi="Times New Roman"/>
                <w:szCs w:val="24"/>
                <w:lang w:eastAsia="zh-CN"/>
              </w:rPr>
              <w:t>山东华仁永旺招标有限公司</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开户银行：</w:t>
            </w:r>
            <w:r>
              <w:rPr>
                <w:rFonts w:hint="eastAsia" w:ascii="Times New Roman" w:hAnsi="Times New Roman"/>
                <w:szCs w:val="24"/>
                <w:lang w:eastAsia="zh-CN"/>
              </w:rPr>
              <w:t>中国工商银行济南高新支行</w:t>
            </w:r>
          </w:p>
          <w:p>
            <w:pPr>
              <w:spacing w:line="360" w:lineRule="auto"/>
              <w:ind w:firstLine="0" w:firstLineChars="0"/>
              <w:jc w:val="both"/>
              <w:rPr>
                <w:rFonts w:hint="eastAsia" w:ascii="Times New Roman" w:hAnsi="Times New Roman" w:eastAsia="仿宋"/>
                <w:szCs w:val="24"/>
                <w:lang w:eastAsia="zh-CN"/>
              </w:rPr>
            </w:pPr>
            <w:r>
              <w:rPr>
                <w:rFonts w:ascii="Times New Roman" w:hAnsi="Times New Roman"/>
                <w:szCs w:val="24"/>
              </w:rPr>
              <w:t>账    号：</w:t>
            </w:r>
            <w:r>
              <w:rPr>
                <w:rFonts w:hint="eastAsia" w:ascii="Times New Roman" w:hAnsi="Times New Roman"/>
                <w:szCs w:val="24"/>
                <w:lang w:eastAsia="zh-CN"/>
              </w:rPr>
              <w:t>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2</w:t>
            </w:r>
          </w:p>
        </w:tc>
        <w:tc>
          <w:tcPr>
            <w:tcW w:w="1843" w:type="dxa"/>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见证律师费的收费标准</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成交供应商按成交金额1‰向公证机关/见证律师交纳公证费/见证律师费，不足500元，按500元收取。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rPr>
              <w:t>3</w:t>
            </w:r>
            <w:r>
              <w:rPr>
                <w:rFonts w:hint="eastAsia" w:ascii="Times New Roman" w:hAnsi="Times New Roman"/>
                <w:szCs w:val="24"/>
                <w:lang w:val="en-US" w:eastAsia="zh-CN"/>
              </w:rPr>
              <w:t>3</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技术部分评审依据内容</w:t>
            </w:r>
          </w:p>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（综合对比）</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1、制造商公开发布的印刷资料或彩页等；</w:t>
            </w:r>
          </w:p>
          <w:p>
            <w:pPr>
              <w:spacing w:line="360" w:lineRule="auto"/>
              <w:ind w:firstLine="0" w:firstLineChars="0"/>
              <w:jc w:val="both"/>
              <w:rPr>
                <w:rFonts w:ascii="Times New Roman" w:hAnsi="Times New Roman"/>
                <w:szCs w:val="24"/>
              </w:rPr>
            </w:pPr>
            <w:r>
              <w:rPr>
                <w:rFonts w:hint="eastAsia" w:ascii="Times New Roman" w:hAnsi="Times New Roman"/>
                <w:szCs w:val="24"/>
              </w:rPr>
              <w:t>2、技术响应表；</w:t>
            </w:r>
          </w:p>
          <w:p>
            <w:pPr>
              <w:spacing w:line="360" w:lineRule="auto"/>
              <w:ind w:firstLine="0" w:firstLineChars="0"/>
              <w:jc w:val="both"/>
              <w:rPr>
                <w:rFonts w:ascii="Times New Roman" w:hAnsi="Times New Roman"/>
                <w:szCs w:val="24"/>
              </w:rPr>
            </w:pPr>
            <w:r>
              <w:rPr>
                <w:rFonts w:hint="eastAsia" w:ascii="Times New Roman" w:hAnsi="Times New Roman"/>
                <w:szCs w:val="24"/>
              </w:rPr>
              <w:t>3、检测机构出具的检测报告；</w:t>
            </w:r>
          </w:p>
          <w:p>
            <w:pPr>
              <w:spacing w:line="360" w:lineRule="auto"/>
              <w:ind w:firstLine="0" w:firstLineChars="0"/>
              <w:jc w:val="both"/>
              <w:rPr>
                <w:rFonts w:ascii="Times New Roman" w:hAnsi="Times New Roman"/>
                <w:szCs w:val="24"/>
              </w:rPr>
            </w:pPr>
            <w:r>
              <w:rPr>
                <w:rFonts w:hint="eastAsia" w:ascii="Times New Roman" w:hAnsi="Times New Roman"/>
                <w:szCs w:val="24"/>
              </w:rPr>
              <w:t>4、详细技术描述、建设方案等；</w:t>
            </w:r>
          </w:p>
          <w:p>
            <w:pPr>
              <w:spacing w:line="360" w:lineRule="auto"/>
              <w:ind w:firstLine="0" w:firstLineChars="0"/>
              <w:jc w:val="both"/>
              <w:rPr>
                <w:rFonts w:ascii="Times New Roman" w:hAnsi="Times New Roman"/>
                <w:szCs w:val="24"/>
              </w:rPr>
            </w:pPr>
            <w:r>
              <w:rPr>
                <w:rFonts w:hint="eastAsia" w:ascii="Times New Roman" w:hAnsi="Times New Roman"/>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spacing w:line="360" w:lineRule="auto"/>
              <w:ind w:firstLine="0" w:firstLineChars="0"/>
              <w:jc w:val="center"/>
              <w:rPr>
                <w:rFonts w:hint="default" w:ascii="Times New Roman" w:hAnsi="Times New Roman" w:eastAsia="仿宋"/>
                <w:szCs w:val="24"/>
                <w:lang w:val="en-US" w:eastAsia="zh-CN"/>
              </w:rPr>
            </w:pPr>
            <w:r>
              <w:rPr>
                <w:rFonts w:hint="eastAsia" w:ascii="Times New Roman" w:hAnsi="Times New Roman"/>
                <w:szCs w:val="24"/>
                <w:lang w:val="en-US" w:eastAsia="zh-CN"/>
              </w:rPr>
              <w:t>34</w:t>
            </w:r>
          </w:p>
        </w:tc>
        <w:tc>
          <w:tcPr>
            <w:tcW w:w="1843" w:type="dxa"/>
            <w:tcBorders>
              <w:top w:val="single" w:color="auto" w:sz="6" w:space="0"/>
              <w:left w:val="single" w:color="auto" w:sz="6" w:space="0"/>
              <w:bottom w:val="single" w:color="auto" w:sz="6" w:space="0"/>
              <w:right w:val="single" w:color="auto" w:sz="6" w:space="0"/>
            </w:tcBorders>
            <w:vAlign w:val="center"/>
          </w:tcPr>
          <w:p>
            <w:pPr>
              <w:spacing w:line="360" w:lineRule="auto"/>
              <w:ind w:firstLine="0" w:firstLineChars="0"/>
              <w:jc w:val="center"/>
              <w:rPr>
                <w:rFonts w:ascii="Times New Roman" w:hAnsi="Times New Roman"/>
                <w:szCs w:val="24"/>
                <w:lang w:val="en-GB"/>
              </w:rPr>
            </w:pPr>
            <w:r>
              <w:rPr>
                <w:rFonts w:ascii="Times New Roman" w:hAnsi="Times New Roman"/>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spacing w:line="360" w:lineRule="auto"/>
              <w:ind w:firstLine="0" w:firstLineChars="0"/>
              <w:jc w:val="both"/>
              <w:rPr>
                <w:rFonts w:ascii="Times New Roman" w:hAnsi="Times New Roman"/>
                <w:szCs w:val="24"/>
              </w:rPr>
            </w:pPr>
            <w:r>
              <w:rPr>
                <w:rFonts w:ascii="Times New Roman" w:hAnsi="Times New Roman"/>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5</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同一品牌产品相关问题</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spacing w:line="360" w:lineRule="auto"/>
              <w:ind w:firstLine="0" w:firstLineChars="0"/>
              <w:jc w:val="both"/>
              <w:rPr>
                <w:rFonts w:ascii="Times New Roman" w:hAnsi="Times New Roman"/>
                <w:szCs w:val="24"/>
              </w:rPr>
            </w:pPr>
            <w:r>
              <w:rPr>
                <w:rFonts w:hint="eastAsia" w:ascii="Times New Roman" w:hAnsi="Times New Roman"/>
                <w:szCs w:val="24"/>
              </w:rPr>
              <w:t>2、非单一产品采购项目中核心产品的确定原则：</w:t>
            </w:r>
          </w:p>
          <w:p>
            <w:pPr>
              <w:spacing w:line="360" w:lineRule="auto"/>
              <w:ind w:firstLine="0" w:firstLineChars="0"/>
              <w:jc w:val="both"/>
              <w:rPr>
                <w:rFonts w:ascii="Times New Roman" w:hAnsi="Times New Roman"/>
                <w:szCs w:val="24"/>
              </w:rPr>
            </w:pPr>
            <w:r>
              <w:rPr>
                <w:rFonts w:hint="eastAsia" w:ascii="Times New Roman" w:hAnsi="Times New Roman"/>
                <w:szCs w:val="24"/>
              </w:rPr>
              <w:t>1）第八部分技术要求及说明中规定核心产品的，以核心产品参照上述第1款的规定。</w:t>
            </w:r>
          </w:p>
          <w:p>
            <w:pPr>
              <w:spacing w:line="360" w:lineRule="auto"/>
              <w:ind w:firstLine="0" w:firstLineChars="0"/>
              <w:jc w:val="both"/>
              <w:rPr>
                <w:rFonts w:ascii="Times New Roman" w:hAnsi="Times New Roman"/>
                <w:szCs w:val="24"/>
              </w:rPr>
            </w:pPr>
            <w:r>
              <w:rPr>
                <w:rFonts w:hint="eastAsia" w:ascii="Times New Roman" w:hAnsi="Times New Roman"/>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6</w:t>
            </w:r>
          </w:p>
        </w:tc>
        <w:tc>
          <w:tcPr>
            <w:tcW w:w="1843" w:type="dxa"/>
            <w:vAlign w:val="center"/>
          </w:tcPr>
          <w:p>
            <w:pPr>
              <w:spacing w:line="360" w:lineRule="auto"/>
              <w:ind w:firstLine="0" w:firstLineChars="0"/>
              <w:jc w:val="center"/>
              <w:rPr>
                <w:rFonts w:ascii="Times New Roman" w:hAnsi="Times New Roman"/>
                <w:szCs w:val="24"/>
                <w:lang w:val="en-GB"/>
              </w:rPr>
            </w:pPr>
            <w:r>
              <w:rPr>
                <w:rFonts w:hint="eastAsia" w:ascii="Times New Roman" w:hAnsi="Times New Roman"/>
                <w:szCs w:val="24"/>
                <w:lang w:val="en-GB"/>
              </w:rPr>
              <w:t>其他</w:t>
            </w:r>
          </w:p>
        </w:tc>
        <w:tc>
          <w:tcPr>
            <w:tcW w:w="7114" w:type="dxa"/>
            <w:vAlign w:val="center"/>
          </w:tcPr>
          <w:p>
            <w:pPr>
              <w:spacing w:line="360" w:lineRule="auto"/>
              <w:ind w:firstLine="0" w:firstLineChars="0"/>
              <w:jc w:val="both"/>
              <w:rPr>
                <w:rFonts w:ascii="Times New Roman" w:hAnsi="Times New Roman"/>
                <w:szCs w:val="24"/>
              </w:rPr>
            </w:pPr>
            <w:r>
              <w:rPr>
                <w:rFonts w:hint="eastAsia" w:ascii="Times New Roman" w:hAnsi="Times New Roman"/>
                <w:szCs w:val="24"/>
              </w:rPr>
              <w:t>1、成交供应商所有响应文件的所有权（包括知识产权）归采购人所有。</w:t>
            </w:r>
          </w:p>
          <w:p>
            <w:pPr>
              <w:spacing w:line="360" w:lineRule="auto"/>
              <w:ind w:firstLine="0" w:firstLineChars="0"/>
              <w:jc w:val="both"/>
              <w:rPr>
                <w:rFonts w:ascii="Times New Roman" w:hAnsi="Times New Roman"/>
                <w:szCs w:val="24"/>
              </w:rPr>
            </w:pPr>
            <w:r>
              <w:rPr>
                <w:rFonts w:hint="eastAsia" w:ascii="Times New Roman" w:hAnsi="Times New Roman"/>
                <w:szCs w:val="24"/>
              </w:rPr>
              <w:t>2、采购人提供的相关资料只供本次招标活动使用，各供应商应承担保密义务，不得擅自拷贝和传播。</w:t>
            </w:r>
          </w:p>
          <w:p>
            <w:pPr>
              <w:spacing w:line="360" w:lineRule="auto"/>
              <w:ind w:firstLine="0" w:firstLineChars="0"/>
              <w:jc w:val="both"/>
              <w:rPr>
                <w:rFonts w:ascii="Times New Roman" w:hAnsi="Times New Roman"/>
                <w:szCs w:val="24"/>
              </w:rPr>
            </w:pPr>
            <w:r>
              <w:rPr>
                <w:rFonts w:hint="eastAsia" w:ascii="Times New Roman" w:hAnsi="Times New Roman"/>
                <w:szCs w:val="24"/>
              </w:rPr>
              <w:t>3、各供应商的调研费、差旅费及所获补偿金、奖金的税费自理。</w:t>
            </w:r>
          </w:p>
          <w:p>
            <w:pPr>
              <w:spacing w:line="360" w:lineRule="auto"/>
              <w:ind w:firstLine="0" w:firstLineChars="0"/>
              <w:jc w:val="both"/>
              <w:rPr>
                <w:rFonts w:ascii="Times New Roman" w:hAnsi="Times New Roman"/>
                <w:szCs w:val="24"/>
              </w:rPr>
            </w:pPr>
            <w:r>
              <w:rPr>
                <w:rFonts w:hint="eastAsia" w:ascii="Times New Roman" w:hAnsi="Times New Roman"/>
                <w:szCs w:val="24"/>
              </w:rPr>
              <w:t>4、所有提交成果一律不退回。</w:t>
            </w:r>
          </w:p>
          <w:p>
            <w:pPr>
              <w:spacing w:line="360" w:lineRule="auto"/>
              <w:ind w:firstLine="0" w:firstLineChars="0"/>
              <w:jc w:val="both"/>
              <w:rPr>
                <w:rFonts w:ascii="Times New Roman" w:hAnsi="Times New Roman"/>
                <w:szCs w:val="24"/>
              </w:rPr>
            </w:pPr>
            <w:r>
              <w:rPr>
                <w:rFonts w:hint="eastAsia" w:ascii="Times New Roman" w:hAnsi="Times New Roman"/>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spacing w:line="360" w:lineRule="auto"/>
              <w:ind w:firstLine="0" w:firstLineChars="0"/>
              <w:jc w:val="center"/>
              <w:rPr>
                <w:rFonts w:hint="eastAsia" w:ascii="Times New Roman" w:hAnsi="Times New Roman" w:eastAsia="仿宋"/>
                <w:szCs w:val="24"/>
                <w:lang w:eastAsia="zh-CN"/>
              </w:rPr>
            </w:pPr>
            <w:r>
              <w:rPr>
                <w:rFonts w:hint="eastAsia" w:ascii="Times New Roman" w:hAnsi="Times New Roman"/>
                <w:szCs w:val="24"/>
              </w:rPr>
              <w:t>3</w:t>
            </w:r>
            <w:r>
              <w:rPr>
                <w:rFonts w:hint="eastAsia" w:ascii="Times New Roman" w:hAnsi="Times New Roman"/>
                <w:szCs w:val="24"/>
                <w:lang w:val="en-US" w:eastAsia="zh-CN"/>
              </w:rPr>
              <w:t>7</w:t>
            </w:r>
          </w:p>
        </w:tc>
        <w:tc>
          <w:tcPr>
            <w:tcW w:w="1843" w:type="dxa"/>
            <w:vAlign w:val="center"/>
          </w:tcPr>
          <w:p>
            <w:pPr>
              <w:spacing w:line="360" w:lineRule="auto"/>
              <w:ind w:firstLine="0" w:firstLineChars="0"/>
              <w:jc w:val="center"/>
              <w:rPr>
                <w:rFonts w:ascii="Times New Roman" w:hAnsi="Times New Roman"/>
                <w:lang w:val="en-GB"/>
              </w:rPr>
            </w:pPr>
            <w:r>
              <w:rPr>
                <w:rFonts w:ascii="Times New Roman" w:hAnsi="Times New Roman"/>
                <w:lang w:val="en-GB"/>
              </w:rPr>
              <w:t>投标注意事项</w:t>
            </w:r>
          </w:p>
        </w:tc>
        <w:tc>
          <w:tcPr>
            <w:tcW w:w="7114" w:type="dxa"/>
            <w:vAlign w:val="center"/>
          </w:tcPr>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1、供应商须于报名截止前在中国山东政府采购网（http://www.ccgp-shandong.gov.cn/sdgp2017/site/index.jsp）注册并报名成功。</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2、根据财库[2016]125号的相关规定，本次招投标活动将对</w:t>
            </w:r>
            <w:r>
              <w:rPr>
                <w:rFonts w:hint="eastAsia" w:ascii="Times New Roman" w:hAnsi="Times New Roman"/>
                <w:color w:val="000000"/>
                <w:szCs w:val="21"/>
              </w:rPr>
              <w:t>相关主体信用记录</w:t>
            </w:r>
            <w:r>
              <w:rPr>
                <w:rFonts w:ascii="Times New Roman" w:hAnsi="Times New Roman"/>
                <w:color w:val="000000"/>
                <w:szCs w:val="21"/>
              </w:rPr>
              <w:t>进行</w:t>
            </w:r>
            <w:r>
              <w:rPr>
                <w:rFonts w:hint="eastAsia" w:ascii="Times New Roman" w:hAnsi="Times New Roman"/>
                <w:color w:val="000000"/>
                <w:szCs w:val="21"/>
              </w:rPr>
              <w:t>查询</w:t>
            </w:r>
            <w:r>
              <w:rPr>
                <w:rFonts w:ascii="Times New Roman" w:hAnsi="Times New Roman"/>
                <w:color w:val="000000"/>
                <w:szCs w:val="21"/>
              </w:rPr>
              <w:t>，对列入失信被执行人、重大税收违法案件当事人名单、政府采购严重违法失信行为记录名单及其他不符合《中华人民共和国政府采购法》第二十二条规定条件的</w:t>
            </w:r>
            <w:r>
              <w:rPr>
                <w:rFonts w:hint="eastAsia" w:ascii="Times New Roman" w:hAnsi="Times New Roman"/>
                <w:color w:val="000000"/>
                <w:szCs w:val="21"/>
              </w:rPr>
              <w:t>供应商</w:t>
            </w:r>
            <w:r>
              <w:rPr>
                <w:rFonts w:ascii="Times New Roman" w:hAnsi="Times New Roman"/>
                <w:color w:val="000000"/>
                <w:szCs w:val="21"/>
              </w:rPr>
              <w:t>，拒绝其参与政府采购活动。</w:t>
            </w:r>
            <w:r>
              <w:rPr>
                <w:rFonts w:hint="eastAsia" w:ascii="Times New Roman" w:hAnsi="Times New Roman"/>
                <w:color w:val="000000"/>
                <w:szCs w:val="21"/>
              </w:rPr>
              <w:t>供应商</w:t>
            </w:r>
            <w:r>
              <w:rPr>
                <w:rFonts w:ascii="Times New Roman" w:hAnsi="Times New Roman"/>
                <w:color w:val="000000"/>
                <w:szCs w:val="21"/>
              </w:rPr>
              <w:t>信用记录信息以信用信息查询记录和证据为准</w:t>
            </w:r>
            <w:r>
              <w:rPr>
                <w:rFonts w:hint="eastAsia" w:ascii="Times New Roman" w:hAnsi="Times New Roman"/>
                <w:color w:val="000000"/>
                <w:szCs w:val="21"/>
              </w:rPr>
              <w:t>【</w:t>
            </w:r>
            <w:r>
              <w:rPr>
                <w:rFonts w:ascii="Times New Roman" w:hAnsi="Times New Roman"/>
                <w:color w:val="000000"/>
                <w:szCs w:val="21"/>
              </w:rPr>
              <w:t>信用查询渠道：“信用中国”网站（www.creditchina.gov.cn）、“信用中国</w:t>
            </w:r>
            <w:r>
              <w:rPr>
                <w:rFonts w:hint="eastAsia" w:ascii="Times New Roman" w:hAnsi="Times New Roman"/>
                <w:color w:val="000000"/>
                <w:szCs w:val="21"/>
              </w:rPr>
              <w:t>（</w:t>
            </w:r>
            <w:r>
              <w:rPr>
                <w:rFonts w:ascii="Times New Roman" w:hAnsi="Times New Roman"/>
                <w:color w:val="000000"/>
                <w:szCs w:val="21"/>
              </w:rPr>
              <w:t>山东</w:t>
            </w:r>
            <w:r>
              <w:rPr>
                <w:rFonts w:hint="eastAsia" w:ascii="Times New Roman" w:hAnsi="Times New Roman"/>
                <w:color w:val="000000"/>
                <w:szCs w:val="21"/>
              </w:rPr>
              <w:t>）</w:t>
            </w:r>
            <w:r>
              <w:rPr>
                <w:rFonts w:ascii="Times New Roman" w:hAnsi="Times New Roman"/>
                <w:color w:val="000000"/>
                <w:szCs w:val="21"/>
              </w:rPr>
              <w:t>”网站（credit.shandong.gov.cn）、 “中国政府采购网”网站（www.ccgp.gov.cn）</w:t>
            </w:r>
            <w:r>
              <w:rPr>
                <w:rFonts w:hint="eastAsia" w:ascii="Times New Roman" w:hAnsi="Times New Roman"/>
                <w:color w:val="000000"/>
                <w:szCs w:val="21"/>
              </w:rPr>
              <w:t>】</w:t>
            </w:r>
          </w:p>
          <w:p>
            <w:pPr>
              <w:widowControl/>
              <w:spacing w:line="360" w:lineRule="auto"/>
              <w:ind w:firstLine="199" w:firstLineChars="83"/>
              <w:rPr>
                <w:rFonts w:ascii="Times New Roman" w:hAnsi="Times New Roman"/>
                <w:color w:val="000000"/>
                <w:szCs w:val="21"/>
              </w:rPr>
            </w:pPr>
            <w:r>
              <w:rPr>
                <w:rFonts w:ascii="Times New Roman" w:hAnsi="Times New Roman"/>
                <w:color w:val="000000"/>
                <w:szCs w:val="21"/>
              </w:rPr>
              <w:t>注：</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（1）</w:t>
            </w:r>
            <w:r>
              <w:rPr>
                <w:rFonts w:ascii="Times New Roman" w:hAnsi="Times New Roman"/>
                <w:color w:val="000000"/>
                <w:szCs w:val="21"/>
              </w:rPr>
              <w:t>自</w:t>
            </w:r>
            <w:r>
              <w:rPr>
                <w:rFonts w:hint="eastAsia" w:ascii="Times New Roman" w:hAnsi="Times New Roman"/>
                <w:color w:val="000000"/>
                <w:szCs w:val="21"/>
              </w:rPr>
              <w:t>磋商</w:t>
            </w:r>
            <w:r>
              <w:rPr>
                <w:rFonts w:ascii="Times New Roman" w:hAnsi="Times New Roman"/>
                <w:color w:val="000000"/>
                <w:szCs w:val="21"/>
              </w:rPr>
              <w:t>公告发布之日起至</w:t>
            </w:r>
            <w:r>
              <w:rPr>
                <w:rFonts w:hint="eastAsia" w:ascii="Times New Roman" w:hAnsi="Times New Roman"/>
                <w:color w:val="000000"/>
                <w:szCs w:val="21"/>
              </w:rPr>
              <w:t>响应文件</w:t>
            </w:r>
            <w:r>
              <w:rPr>
                <w:rFonts w:ascii="Times New Roman" w:hAnsi="Times New Roman"/>
                <w:color w:val="000000"/>
                <w:szCs w:val="21"/>
              </w:rPr>
              <w:t>递交截止时间止，出具相关证明材料，查询时须将查询网页、内容进行截图或拍照，以作证据留存，截图或拍照内容要完整清晰，应包括网站网址、查询内容、电脑截屏时间。</w:t>
            </w:r>
          </w:p>
          <w:p>
            <w:pPr>
              <w:widowControl/>
              <w:spacing w:line="360" w:lineRule="auto"/>
              <w:ind w:firstLine="0" w:firstLineChars="0"/>
              <w:rPr>
                <w:rFonts w:ascii="Times New Roman" w:hAnsi="Times New Roman"/>
                <w:color w:val="000000"/>
                <w:szCs w:val="21"/>
              </w:rPr>
            </w:pPr>
            <w:r>
              <w:rPr>
                <w:rFonts w:hint="eastAsia" w:ascii="Times New Roman" w:hAnsi="Times New Roman"/>
                <w:color w:val="000000"/>
                <w:szCs w:val="21"/>
              </w:rPr>
              <w:t>（2）注册地非山东省的供应商，须提供注册地省份相关网站查询记录。</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3、参与</w:t>
            </w:r>
            <w:r>
              <w:rPr>
                <w:rFonts w:hint="eastAsia" w:ascii="Times New Roman" w:hAnsi="Times New Roman"/>
                <w:color w:val="000000"/>
                <w:szCs w:val="21"/>
              </w:rPr>
              <w:t>报价</w:t>
            </w:r>
            <w:r>
              <w:rPr>
                <w:rFonts w:ascii="Times New Roman" w:hAnsi="Times New Roman"/>
                <w:color w:val="000000"/>
                <w:szCs w:val="21"/>
              </w:rPr>
              <w:t>活动的供应商应当遵循公平竞争和诚实信用的原则，任何违反公平竞争和诚实信用的行为都将导致</w:t>
            </w:r>
            <w:r>
              <w:rPr>
                <w:rFonts w:hint="eastAsia" w:ascii="Times New Roman" w:hAnsi="Times New Roman"/>
                <w:color w:val="000000"/>
                <w:szCs w:val="21"/>
              </w:rPr>
              <w:t>报价</w:t>
            </w:r>
            <w:r>
              <w:rPr>
                <w:rFonts w:ascii="Times New Roman" w:hAnsi="Times New Roman"/>
                <w:color w:val="000000"/>
                <w:szCs w:val="21"/>
              </w:rPr>
              <w:t>无效，且依据《中华人民共和国政府采购法》第七十七条进行处罚。</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spacing w:line="360" w:lineRule="auto"/>
              <w:ind w:firstLine="0" w:firstLineChars="0"/>
              <w:rPr>
                <w:rFonts w:ascii="Times New Roman" w:hAnsi="Times New Roman"/>
                <w:color w:val="000000"/>
                <w:szCs w:val="21"/>
              </w:rPr>
            </w:pPr>
            <w:r>
              <w:rPr>
                <w:rFonts w:ascii="Times New Roman" w:hAnsi="Times New Roman"/>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spacing w:line="360" w:lineRule="auto"/>
              <w:ind w:firstLine="0" w:firstLineChars="0"/>
              <w:rPr>
                <w:rFonts w:ascii="Times New Roman" w:hAnsi="Times New Roman"/>
                <w:color w:val="000000"/>
                <w:szCs w:val="21"/>
              </w:rPr>
            </w:pPr>
            <w:r>
              <w:rPr>
                <w:rFonts w:ascii="Times New Roman" w:hAnsi="Times New Roman"/>
                <w:b/>
                <w:color w:val="000000"/>
                <w:szCs w:val="21"/>
              </w:rPr>
              <w:t>台式计算机，便携式计算机，平板式微型计算机，激光打印机，针式打印机，</w:t>
            </w:r>
            <w:r>
              <w:rPr>
                <w:rFonts w:hint="eastAsia" w:ascii="Times New Roman" w:hAnsi="Times New Roman"/>
                <w:b/>
                <w:color w:val="000000"/>
                <w:szCs w:val="21"/>
              </w:rPr>
              <w:t>液晶显示器</w:t>
            </w:r>
            <w:r>
              <w:rPr>
                <w:rFonts w:ascii="Times New Roman" w:hAnsi="Times New Roman"/>
                <w:b/>
                <w:color w:val="000000"/>
                <w:szCs w:val="21"/>
              </w:rPr>
              <w:t>，制冷压缩机，空调机组，专用制冷、空调设备，镇流器，空调机，电热水器，普通照明用双端荧光灯，电视设备，视频设备，便器，水嘴等品目为政府强制采购的节能产品。</w:t>
            </w:r>
          </w:p>
          <w:p>
            <w:pPr>
              <w:pStyle w:val="10"/>
              <w:spacing w:line="360" w:lineRule="auto"/>
              <w:rPr>
                <w:rFonts w:eastAsia="仿宋" w:cs="Times New Roman"/>
                <w:color w:val="000000"/>
                <w:sz w:val="24"/>
                <w:szCs w:val="21"/>
              </w:rPr>
            </w:pPr>
            <w:r>
              <w:rPr>
                <w:rFonts w:eastAsia="仿宋" w:cs="Times New Roman"/>
                <w:color w:val="000000"/>
                <w:sz w:val="24"/>
                <w:szCs w:val="21"/>
              </w:rPr>
              <w:t>6、本项目实行资格后审，报名成功不代表开标结束后通过资格审查。</w:t>
            </w:r>
          </w:p>
        </w:tc>
      </w:tr>
    </w:tbl>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r>
        <w:rPr>
          <w:rFonts w:hint="eastAsia" w:ascii="Times New Roman" w:hAnsi="Times New Roman"/>
        </w:rPr>
        <w:t>说明：本表内容与磋商文件其他部分内容不一致的，应当以本表内容为准。</w:t>
      </w: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pStyle w:val="30"/>
        <w:spacing w:line="360" w:lineRule="auto"/>
        <w:ind w:firstLine="0" w:firstLineChars="0"/>
        <w:rPr>
          <w:rFonts w:ascii="Times New Roman" w:hAnsi="Times New Roman"/>
        </w:rPr>
      </w:pPr>
    </w:p>
    <w:p>
      <w:pPr>
        <w:rPr>
          <w:rFonts w:hint="eastAsia" w:ascii="Times New Roman" w:hAnsi="Times New Roman"/>
          <w:b/>
          <w:sz w:val="32"/>
          <w:szCs w:val="32"/>
        </w:rPr>
      </w:pPr>
      <w:bookmarkStart w:id="2" w:name="_Toc81467279"/>
      <w:r>
        <w:rPr>
          <w:rFonts w:hint="eastAsia" w:ascii="Times New Roman" w:hAnsi="Times New Roman"/>
          <w:b/>
          <w:sz w:val="32"/>
          <w:szCs w:val="32"/>
        </w:rPr>
        <w:br w:type="page"/>
      </w:r>
    </w:p>
    <w:p>
      <w:pPr>
        <w:widowControl/>
        <w:spacing w:line="360" w:lineRule="auto"/>
        <w:ind w:firstLine="0" w:firstLineChars="0"/>
        <w:jc w:val="center"/>
        <w:rPr>
          <w:rFonts w:ascii="Times New Roman" w:hAnsi="Times New Roman"/>
          <w:b/>
          <w:sz w:val="32"/>
          <w:szCs w:val="32"/>
        </w:rPr>
      </w:pPr>
      <w:r>
        <w:rPr>
          <w:rFonts w:hint="eastAsia" w:ascii="Times New Roman" w:hAnsi="Times New Roman"/>
          <w:b/>
          <w:sz w:val="32"/>
          <w:szCs w:val="32"/>
        </w:rPr>
        <w:t>第七部分  评审方法和评分细则</w:t>
      </w:r>
      <w:bookmarkEnd w:id="2"/>
    </w:p>
    <w:p>
      <w:pPr>
        <w:spacing w:line="360" w:lineRule="auto"/>
        <w:ind w:firstLine="562"/>
        <w:outlineLvl w:val="1"/>
        <w:rPr>
          <w:rFonts w:ascii="Times New Roman" w:hAnsi="Times New Roman"/>
          <w:b/>
          <w:sz w:val="28"/>
          <w:szCs w:val="28"/>
        </w:rPr>
      </w:pPr>
      <w:bookmarkStart w:id="3" w:name="_Toc81467280"/>
      <w:r>
        <w:rPr>
          <w:rFonts w:hint="eastAsia" w:ascii="Times New Roman" w:hAnsi="Times New Roman"/>
          <w:b/>
          <w:sz w:val="28"/>
          <w:szCs w:val="28"/>
        </w:rPr>
        <w:t>一、评审方法</w:t>
      </w:r>
      <w:bookmarkEnd w:id="3"/>
    </w:p>
    <w:p>
      <w:pPr>
        <w:pStyle w:val="30"/>
        <w:spacing w:line="360" w:lineRule="auto"/>
        <w:ind w:firstLine="480"/>
        <w:rPr>
          <w:rFonts w:ascii="Times New Roman" w:hAnsi="Times New Roman"/>
        </w:rPr>
      </w:pPr>
      <w:r>
        <w:rPr>
          <w:rFonts w:hint="eastAsia" w:ascii="Times New Roman" w:hAnsi="Times New Roman"/>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spacing w:line="360" w:lineRule="auto"/>
        <w:ind w:firstLine="562"/>
        <w:outlineLvl w:val="1"/>
        <w:rPr>
          <w:rFonts w:ascii="Times New Roman" w:hAnsi="Times New Roman"/>
          <w:b/>
          <w:sz w:val="28"/>
          <w:szCs w:val="28"/>
        </w:rPr>
      </w:pPr>
      <w:bookmarkStart w:id="4" w:name="_Toc81467281"/>
      <w:r>
        <w:rPr>
          <w:rFonts w:hint="eastAsia" w:ascii="Times New Roman" w:hAnsi="Times New Roman"/>
          <w:b/>
          <w:sz w:val="28"/>
          <w:szCs w:val="28"/>
        </w:rPr>
        <w:t>二、评分细则</w:t>
      </w:r>
      <w:bookmarkEnd w:id="4"/>
    </w:p>
    <w:tbl>
      <w:tblPr>
        <w:tblStyle w:val="21"/>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38"/>
        <w:gridCol w:w="1324"/>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3"/>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bCs/>
                <w:caps/>
                <w:szCs w:val="24"/>
              </w:rPr>
            </w:pPr>
            <w:bookmarkStart w:id="5" w:name="_Toc81467282"/>
            <w:r>
              <w:rPr>
                <w:rFonts w:hint="eastAsia" w:ascii="仿宋" w:hAnsi="仿宋" w:eastAsia="仿宋" w:cs="仿宋"/>
                <w:caps/>
                <w:szCs w:val="24"/>
              </w:rPr>
              <w:t xml:space="preserve">    </w:t>
            </w:r>
            <w:r>
              <w:rPr>
                <w:rFonts w:hint="eastAsia" w:ascii="仿宋" w:hAnsi="仿宋" w:eastAsia="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restart"/>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总分组成</w:t>
            </w: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（1）价格</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（2）技术</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59</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7" w:hRule="atLeast"/>
        </w:trPr>
        <w:tc>
          <w:tcPr>
            <w:tcW w:w="638" w:type="dxa"/>
            <w:vMerge w:val="continue"/>
            <w:tcBorders>
              <w:top w:val="single" w:color="000000" w:sz="6" w:space="0"/>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szCs w:val="24"/>
              </w:rPr>
            </w:pPr>
            <w:r>
              <w:rPr>
                <w:rFonts w:hint="eastAsia" w:ascii="仿宋" w:hAnsi="仿宋" w:eastAsia="仿宋" w:cs="仿宋"/>
                <w:szCs w:val="24"/>
              </w:rPr>
              <w:t>（3）商务</w:t>
            </w:r>
          </w:p>
        </w:tc>
        <w:tc>
          <w:tcPr>
            <w:tcW w:w="7893" w:type="dxa"/>
            <w:tcBorders>
              <w:top w:val="single" w:color="000000" w:sz="6" w:space="0"/>
              <w:left w:val="single" w:color="000000" w:sz="6" w:space="0"/>
              <w:bottom w:val="single" w:color="000000" w:sz="6" w:space="0"/>
              <w:right w:val="double" w:color="000000" w:sz="6" w:space="0"/>
            </w:tcBorders>
          </w:tcPr>
          <w:p>
            <w:pPr>
              <w:spacing w:line="440" w:lineRule="exact"/>
              <w:ind w:firstLine="0" w:firstLineChars="0"/>
              <w:jc w:val="center"/>
              <w:rPr>
                <w:rFonts w:hint="eastAsia" w:ascii="仿宋" w:hAnsi="仿宋" w:eastAsia="仿宋" w:cs="仿宋"/>
                <w:szCs w:val="24"/>
                <w:lang w:eastAsia="zh-CN"/>
              </w:rPr>
            </w:pPr>
            <w:r>
              <w:rPr>
                <w:rFonts w:hint="eastAsia" w:ascii="仿宋" w:hAnsi="仿宋" w:eastAsia="仿宋" w:cs="仿宋"/>
                <w:szCs w:val="24"/>
                <w:lang w:val="en-US" w:eastAsia="zh-CN"/>
              </w:rPr>
              <w:t>11</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gridSpan w:val="2"/>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投标报价</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以满足招标文件要求且投标价格最低的投标报价为评标基准价，其价格分为满分30分，其他投标人的价格分按照下列公式计算：投标报价得分=（评标基准价/投标报价）×30%×100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551" w:hRule="atLeast"/>
        </w:trPr>
        <w:tc>
          <w:tcPr>
            <w:tcW w:w="638" w:type="dxa"/>
            <w:vMerge w:val="restart"/>
            <w:tcBorders>
              <w:top w:val="single" w:color="000000" w:sz="6" w:space="0"/>
              <w:left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技术部分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59</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投标产品参数响应</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43</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color w:val="000000"/>
                <w:kern w:val="0"/>
                <w:szCs w:val="24"/>
              </w:rPr>
            </w:pPr>
            <w:r>
              <w:rPr>
                <w:rFonts w:hint="eastAsia" w:ascii="仿宋" w:hAnsi="仿宋" w:eastAsia="仿宋" w:cs="仿宋"/>
              </w:rPr>
              <w:t>根据招标文件的技术要求，对照投标文件和技术支持资料的技术参数进行比较，能够实质性响应招标文件要求的得基本分</w:t>
            </w:r>
            <w:r>
              <w:rPr>
                <w:rFonts w:hint="eastAsia" w:ascii="仿宋" w:hAnsi="仿宋" w:eastAsia="仿宋" w:cs="仿宋"/>
                <w:lang w:val="en-US" w:eastAsia="zh-CN"/>
              </w:rPr>
              <w:t>43</w:t>
            </w:r>
            <w:r>
              <w:rPr>
                <w:rFonts w:hint="eastAsia" w:ascii="仿宋" w:hAnsi="仿宋" w:eastAsia="仿宋" w:cs="仿宋"/>
              </w:rPr>
              <w:t>分，普通条款一项偏离扣2分，经评标委员会集体认定供应商复制粘贴招标文件制作技术响应表该项得0分。</w:t>
            </w:r>
            <w:r>
              <w:rPr>
                <w:rFonts w:hint="eastAsia" w:ascii="仿宋" w:hAnsi="仿宋" w:eastAsia="仿宋" w:cs="仿宋"/>
                <w:b/>
                <w:bCs/>
                <w:color w:val="000000"/>
                <w:kern w:val="0"/>
                <w:szCs w:val="24"/>
              </w:rPr>
              <w:t>投标人须提供所投产品技术彩页（或网站截图或制造商说明书或第三方检测报告）作为技术佐证材料，否则评委有权视为技术参数存在负偏离。</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tcPr>
          <w:p>
            <w:pPr>
              <w:spacing w:line="440" w:lineRule="exact"/>
              <w:ind w:firstLine="0" w:firstLineChars="0"/>
              <w:jc w:val="both"/>
              <w:rPr>
                <w:rFonts w:hint="eastAsia" w:ascii="仿宋" w:hAnsi="仿宋" w:eastAsia="仿宋" w:cs="仿宋"/>
                <w:bCs/>
                <w:szCs w:val="24"/>
              </w:rPr>
            </w:pPr>
            <w:r>
              <w:rPr>
                <w:rFonts w:hint="eastAsia" w:ascii="仿宋" w:hAnsi="仿宋" w:eastAsia="仿宋" w:cs="仿宋"/>
                <w:bCs/>
                <w:szCs w:val="24"/>
                <w:lang w:eastAsia="zh-CN"/>
              </w:rPr>
              <w:t>投标产品综合性能</w:t>
            </w:r>
            <w:r>
              <w:rPr>
                <w:rFonts w:hint="eastAsia" w:ascii="仿宋" w:hAnsi="仿宋" w:eastAsia="仿宋" w:cs="仿宋"/>
                <w:bCs/>
                <w:szCs w:val="24"/>
                <w:lang w:val="en-US" w:eastAsia="zh-CN"/>
              </w:rPr>
              <w:t>10</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综合考虑投标产品整体配置、后期使用成本、产品维护及其它因素等综合评分。①投标产品整体配置、②明显优于采购要求③后期使用成本低、④产品易于维护、⑤其它因素，每项完全满足得2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217" w:hRule="atLeast"/>
        </w:trPr>
        <w:tc>
          <w:tcPr>
            <w:tcW w:w="638" w:type="dxa"/>
            <w:vMerge w:val="continue"/>
            <w:tcBorders>
              <w:left w:val="double" w:color="000000" w:sz="6" w:space="0"/>
              <w:bottom w:val="sing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pStyle w:val="12"/>
              <w:spacing w:after="0" w:line="480" w:lineRule="exact"/>
              <w:ind w:left="0" w:leftChars="0" w:firstLine="0" w:firstLineChars="0"/>
              <w:jc w:val="center"/>
              <w:rPr>
                <w:rFonts w:hint="eastAsia" w:ascii="仿宋" w:hAnsi="仿宋" w:eastAsia="仿宋" w:cs="仿宋"/>
                <w:bCs/>
                <w:color w:val="auto"/>
                <w:sz w:val="24"/>
                <w:lang w:eastAsia="zh-CN"/>
              </w:rPr>
            </w:pPr>
            <w:r>
              <w:rPr>
                <w:rFonts w:hint="eastAsia" w:ascii="仿宋" w:hAnsi="仿宋" w:eastAsia="仿宋" w:cs="仿宋"/>
                <w:bCs/>
                <w:color w:val="auto"/>
                <w:sz w:val="24"/>
                <w:lang w:eastAsia="zh-CN"/>
              </w:rPr>
              <w:t>实施方案</w:t>
            </w:r>
          </w:p>
          <w:p>
            <w:pPr>
              <w:pStyle w:val="12"/>
              <w:spacing w:after="0" w:line="480" w:lineRule="exact"/>
              <w:ind w:left="0" w:leftChars="0" w:firstLine="0" w:firstLineChars="0"/>
              <w:jc w:val="center"/>
              <w:rPr>
                <w:rFonts w:hint="eastAsia" w:ascii="仿宋" w:hAnsi="仿宋" w:eastAsia="仿宋" w:cs="仿宋"/>
                <w:bCs/>
                <w:szCs w:val="24"/>
                <w:lang w:eastAsia="zh-CN"/>
              </w:rPr>
            </w:pPr>
            <w:r>
              <w:rPr>
                <w:rFonts w:hint="eastAsia" w:ascii="仿宋" w:hAnsi="仿宋" w:eastAsia="仿宋" w:cs="仿宋"/>
                <w:bCs/>
                <w:color w:val="auto"/>
                <w:sz w:val="24"/>
                <w:lang w:val="en-US" w:eastAsia="zh-CN"/>
              </w:rPr>
              <w:t>6</w:t>
            </w:r>
            <w:r>
              <w:rPr>
                <w:rFonts w:hint="eastAsia" w:ascii="仿宋" w:hAnsi="仿宋" w:eastAsia="仿宋" w:cs="仿宋"/>
                <w:bCs/>
                <w:color w:val="auto"/>
                <w:sz w:val="24"/>
              </w:rPr>
              <w:t>分</w:t>
            </w:r>
          </w:p>
        </w:tc>
        <w:tc>
          <w:tcPr>
            <w:tcW w:w="7893" w:type="dxa"/>
            <w:tcBorders>
              <w:top w:val="single" w:color="000000" w:sz="6" w:space="0"/>
              <w:left w:val="single" w:color="000000" w:sz="6" w:space="0"/>
              <w:bottom w:val="single" w:color="000000" w:sz="6" w:space="0"/>
              <w:right w:val="double" w:color="000000" w:sz="6" w:space="0"/>
            </w:tcBorders>
            <w:vAlign w:val="top"/>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lang w:eastAsia="zh-CN"/>
              </w:rPr>
              <w:t>对供应商提供的具体实施方案进行评审，根据项目实施进度、质量保证措施等进行综合评审，每项完全满足得</w:t>
            </w:r>
            <w:r>
              <w:rPr>
                <w:rFonts w:hint="eastAsia" w:ascii="仿宋" w:hAnsi="仿宋" w:eastAsia="仿宋" w:cs="仿宋"/>
                <w:bCs/>
                <w:color w:val="auto"/>
                <w:sz w:val="24"/>
                <w:lang w:val="en-US" w:eastAsia="zh-CN"/>
              </w:rPr>
              <w:t>3分，满分6分每有一项不足扣1分。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90" w:hRule="atLeast"/>
        </w:trPr>
        <w:tc>
          <w:tcPr>
            <w:tcW w:w="638" w:type="dxa"/>
            <w:vMerge w:val="restart"/>
            <w:tcBorders>
              <w:top w:val="single" w:color="000000" w:sz="6" w:space="0"/>
              <w:left w:val="doub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商务</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部分</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11</w:t>
            </w:r>
            <w:r>
              <w:rPr>
                <w:rFonts w:hint="eastAsia" w:ascii="仿宋" w:hAnsi="仿宋" w:eastAsia="仿宋" w:cs="仿宋"/>
                <w:bCs/>
                <w:szCs w:val="24"/>
              </w:rPr>
              <w:t>分</w:t>
            </w:r>
          </w:p>
        </w:tc>
        <w:tc>
          <w:tcPr>
            <w:tcW w:w="1324" w:type="dxa"/>
            <w:tcBorders>
              <w:top w:val="single" w:color="000000" w:sz="6" w:space="0"/>
              <w:left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业绩</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pStyle w:val="12"/>
              <w:spacing w:after="0" w:line="480" w:lineRule="exact"/>
              <w:ind w:left="0" w:leftChars="0" w:firstLine="0" w:firstLineChars="0"/>
              <w:rPr>
                <w:rFonts w:hint="eastAsia" w:ascii="仿宋" w:hAnsi="仿宋" w:eastAsia="仿宋" w:cs="仿宋"/>
                <w:bCs/>
                <w:color w:val="auto"/>
                <w:sz w:val="24"/>
                <w:highlight w:val="none"/>
              </w:rPr>
            </w:pPr>
            <w:r>
              <w:rPr>
                <w:rFonts w:hint="eastAsia" w:ascii="仿宋" w:hAnsi="仿宋" w:eastAsia="仿宋" w:cs="仿宋"/>
                <w:bCs/>
                <w:color w:val="auto"/>
                <w:sz w:val="24"/>
                <w:highlight w:val="none"/>
              </w:rPr>
              <w:t>根据供应商所投产品近三年（20</w:t>
            </w:r>
            <w:r>
              <w:rPr>
                <w:rFonts w:hint="eastAsia" w:ascii="仿宋" w:hAnsi="仿宋" w:cs="仿宋"/>
                <w:bCs/>
                <w:color w:val="auto"/>
                <w:sz w:val="24"/>
                <w:highlight w:val="none"/>
                <w:lang w:val="en-US" w:eastAsia="zh-CN"/>
              </w:rPr>
              <w:t>20</w:t>
            </w:r>
            <w:r>
              <w:rPr>
                <w:rFonts w:hint="eastAsia" w:ascii="仿宋" w:hAnsi="仿宋" w:eastAsia="仿宋" w:cs="仿宋"/>
                <w:bCs/>
                <w:color w:val="auto"/>
                <w:sz w:val="24"/>
                <w:highlight w:val="none"/>
              </w:rPr>
              <w:t>年</w:t>
            </w:r>
            <w:r>
              <w:rPr>
                <w:rFonts w:hint="eastAsia" w:ascii="仿宋" w:hAnsi="仿宋" w:eastAsia="仿宋" w:cs="仿宋"/>
                <w:bCs/>
                <w:color w:val="auto"/>
                <w:sz w:val="24"/>
                <w:highlight w:val="none"/>
                <w:lang w:val="en-US" w:eastAsia="zh-CN"/>
              </w:rPr>
              <w:t>5</w:t>
            </w:r>
            <w:r>
              <w:rPr>
                <w:rFonts w:hint="eastAsia" w:ascii="仿宋" w:hAnsi="仿宋" w:eastAsia="仿宋" w:cs="仿宋"/>
                <w:bCs/>
                <w:color w:val="auto"/>
                <w:sz w:val="24"/>
                <w:highlight w:val="none"/>
              </w:rPr>
              <w:t>月至投标截止日止，以合同签订时间为准）完成同类项目的业绩，每提供1项业绩得1分，最高得3分。</w:t>
            </w:r>
          </w:p>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注 1.合同中需反映出签约双方名称及公章、签约时间、设备名称、型号。</w:t>
            </w:r>
          </w:p>
          <w:p>
            <w:pPr>
              <w:spacing w:line="440" w:lineRule="exact"/>
              <w:ind w:firstLine="0" w:firstLineChars="0"/>
              <w:rPr>
                <w:rFonts w:hint="eastAsia" w:ascii="仿宋" w:hAnsi="仿宋" w:eastAsia="仿宋" w:cs="仿宋"/>
                <w:bCs/>
                <w:szCs w:val="24"/>
              </w:rPr>
            </w:pPr>
            <w:r>
              <w:rPr>
                <w:rFonts w:hint="eastAsia" w:ascii="仿宋" w:hAnsi="仿宋" w:eastAsia="仿宋" w:cs="仿宋"/>
                <w:bCs/>
                <w:szCs w:val="24"/>
              </w:rPr>
              <w:t>注 2. 国内销售业绩：制造商或其他代理商销售业绩均可。</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sing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rPr>
              <w:t>服务支持</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5</w:t>
            </w:r>
            <w:r>
              <w:rPr>
                <w:rFonts w:hint="eastAsia" w:ascii="仿宋" w:hAnsi="仿宋" w:eastAsia="仿宋" w:cs="仿宋"/>
                <w:bCs/>
                <w:szCs w:val="24"/>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Cs w:val="24"/>
                <w:highlight w:val="none"/>
              </w:rPr>
              <w:t>根据招标要求和投标技术响应情况，对供应商提供的①售后服务方案、②响应时间、③技术力量等三方面综合评价，满分</w:t>
            </w:r>
            <w:r>
              <w:rPr>
                <w:rFonts w:hint="eastAsia" w:ascii="仿宋" w:hAnsi="仿宋" w:cs="仿宋"/>
                <w:bCs/>
                <w:color w:val="auto"/>
                <w:szCs w:val="24"/>
                <w:highlight w:val="none"/>
                <w:lang w:val="en-US" w:eastAsia="zh-CN"/>
              </w:rPr>
              <w:t>5</w:t>
            </w:r>
            <w:r>
              <w:rPr>
                <w:rFonts w:hint="eastAsia" w:ascii="仿宋" w:hAnsi="仿宋" w:eastAsia="仿宋" w:cs="仿宋"/>
                <w:bCs/>
                <w:color w:val="auto"/>
                <w:szCs w:val="24"/>
                <w:highlight w:val="none"/>
              </w:rPr>
              <w:t>分，每存在一处不合理、瑕疵、不完善扣1分，扣完为止。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638" w:type="dxa"/>
            <w:vMerge w:val="continue"/>
            <w:tcBorders>
              <w:top w:val="single" w:color="000000" w:sz="6" w:space="0"/>
              <w:left w:val="double" w:color="000000" w:sz="6" w:space="0"/>
              <w:bottom w:val="double" w:color="000000" w:sz="6" w:space="0"/>
              <w:right w:val="single" w:color="000000" w:sz="6" w:space="0"/>
            </w:tcBorders>
            <w:vAlign w:val="center"/>
          </w:tcPr>
          <w:p>
            <w:pPr>
              <w:widowControl/>
              <w:ind w:firstLine="0" w:firstLineChars="0"/>
              <w:rPr>
                <w:rFonts w:hint="eastAsia" w:ascii="仿宋" w:hAnsi="仿宋" w:eastAsia="仿宋" w:cs="仿宋"/>
                <w:bCs/>
                <w:szCs w:val="24"/>
              </w:rPr>
            </w:pPr>
          </w:p>
        </w:tc>
        <w:tc>
          <w:tcPr>
            <w:tcW w:w="1324" w:type="dxa"/>
            <w:tcBorders>
              <w:top w:val="single" w:color="000000" w:sz="6" w:space="0"/>
              <w:left w:val="single" w:color="000000" w:sz="6" w:space="0"/>
              <w:bottom w:val="double" w:color="000000" w:sz="6" w:space="0"/>
              <w:right w:val="single" w:color="000000" w:sz="6" w:space="0"/>
            </w:tcBorders>
            <w:vAlign w:val="center"/>
          </w:tcPr>
          <w:p>
            <w:pPr>
              <w:spacing w:line="440" w:lineRule="exact"/>
              <w:ind w:firstLine="0" w:firstLineChars="0"/>
              <w:jc w:val="center"/>
              <w:rPr>
                <w:rFonts w:hint="eastAsia" w:ascii="仿宋" w:hAnsi="仿宋" w:eastAsia="仿宋" w:cs="仿宋"/>
                <w:bCs/>
                <w:szCs w:val="24"/>
                <w:lang w:eastAsia="zh-CN"/>
              </w:rPr>
            </w:pPr>
            <w:r>
              <w:rPr>
                <w:rFonts w:hint="eastAsia" w:ascii="仿宋" w:hAnsi="仿宋" w:eastAsia="仿宋" w:cs="仿宋"/>
                <w:bCs/>
                <w:szCs w:val="24"/>
                <w:lang w:eastAsia="zh-CN"/>
              </w:rPr>
              <w:t>质保期</w:t>
            </w:r>
          </w:p>
          <w:p>
            <w:pPr>
              <w:spacing w:line="440" w:lineRule="exact"/>
              <w:ind w:firstLine="0" w:firstLineChars="0"/>
              <w:jc w:val="center"/>
              <w:rPr>
                <w:rFonts w:hint="eastAsia" w:ascii="仿宋" w:hAnsi="仿宋" w:eastAsia="仿宋" w:cs="仿宋"/>
                <w:bCs/>
                <w:szCs w:val="24"/>
              </w:rPr>
            </w:pPr>
            <w:r>
              <w:rPr>
                <w:rFonts w:hint="eastAsia" w:ascii="仿宋" w:hAnsi="仿宋" w:eastAsia="仿宋" w:cs="仿宋"/>
                <w:bCs/>
                <w:szCs w:val="24"/>
                <w:lang w:val="en-US" w:eastAsia="zh-CN"/>
              </w:rPr>
              <w:t>3</w:t>
            </w:r>
            <w:r>
              <w:rPr>
                <w:rFonts w:hint="eastAsia" w:ascii="仿宋" w:hAnsi="仿宋" w:eastAsia="仿宋" w:cs="仿宋"/>
                <w:bCs/>
                <w:szCs w:val="24"/>
              </w:rPr>
              <w:t>分</w:t>
            </w:r>
          </w:p>
        </w:tc>
        <w:tc>
          <w:tcPr>
            <w:tcW w:w="7893" w:type="dxa"/>
            <w:tcBorders>
              <w:top w:val="single" w:color="000000" w:sz="6" w:space="0"/>
              <w:left w:val="single" w:color="000000" w:sz="6" w:space="0"/>
              <w:bottom w:val="double" w:color="000000" w:sz="6" w:space="0"/>
              <w:right w:val="double" w:color="000000" w:sz="6" w:space="0"/>
            </w:tcBorders>
            <w:vAlign w:val="center"/>
          </w:tcPr>
          <w:p>
            <w:pPr>
              <w:spacing w:line="440" w:lineRule="exact"/>
              <w:ind w:firstLine="0" w:firstLineChars="0"/>
              <w:rPr>
                <w:rFonts w:hint="eastAsia" w:ascii="仿宋" w:hAnsi="仿宋" w:eastAsia="仿宋" w:cs="仿宋"/>
                <w:bCs/>
                <w:szCs w:val="24"/>
              </w:rPr>
            </w:pPr>
            <w:r>
              <w:rPr>
                <w:rFonts w:hint="eastAsia" w:ascii="仿宋" w:hAnsi="仿宋" w:eastAsia="仿宋" w:cs="仿宋"/>
                <w:bCs/>
                <w:color w:val="auto"/>
                <w:sz w:val="24"/>
                <w:highlight w:val="none"/>
              </w:rPr>
              <w:t>质保期满足招标文件要求得0分，超过招标文件要求的，每多一年得1分，最多得3分。</w:t>
            </w:r>
          </w:p>
        </w:tc>
      </w:tr>
    </w:tbl>
    <w:p>
      <w:pPr>
        <w:spacing w:line="360" w:lineRule="auto"/>
        <w:ind w:firstLine="562"/>
        <w:outlineLvl w:val="1"/>
        <w:rPr>
          <w:rFonts w:ascii="Times New Roman" w:hAnsi="Times New Roman"/>
          <w:b/>
          <w:sz w:val="28"/>
          <w:szCs w:val="28"/>
        </w:rPr>
      </w:pPr>
      <w:r>
        <w:rPr>
          <w:rFonts w:hint="eastAsia" w:ascii="Times New Roman" w:hAnsi="Times New Roman"/>
          <w:b/>
          <w:sz w:val="28"/>
          <w:szCs w:val="28"/>
        </w:rPr>
        <w:t>三、初步审查属于无效报价的条款</w:t>
      </w:r>
      <w:bookmarkEnd w:id="5"/>
    </w:p>
    <w:p>
      <w:pPr>
        <w:pStyle w:val="30"/>
        <w:spacing w:line="360" w:lineRule="auto"/>
        <w:ind w:firstLine="480"/>
        <w:rPr>
          <w:rFonts w:ascii="Times New Roman" w:hAnsi="Times New Roman"/>
        </w:rPr>
      </w:pPr>
      <w:r>
        <w:rPr>
          <w:rFonts w:hint="eastAsia" w:ascii="Times New Roman" w:hAnsi="Times New Roman"/>
        </w:rPr>
        <w:t>★响应文件有以下情况之一的，在资格性和符合性审查时按无效报价处理，不得进入详细评审阶段：</w:t>
      </w:r>
    </w:p>
    <w:p>
      <w:pPr>
        <w:pStyle w:val="30"/>
        <w:spacing w:line="360" w:lineRule="auto"/>
        <w:ind w:firstLine="480"/>
        <w:rPr>
          <w:rFonts w:ascii="Times New Roman" w:hAnsi="Times New Roman"/>
        </w:rPr>
      </w:pPr>
      <w:r>
        <w:rPr>
          <w:rFonts w:hint="eastAsia" w:ascii="Times New Roman" w:hAnsi="Times New Roman"/>
        </w:rPr>
        <w:t>1、不具备磋商文件中规定的资格要求的；</w:t>
      </w:r>
    </w:p>
    <w:p>
      <w:pPr>
        <w:pStyle w:val="30"/>
        <w:spacing w:line="360" w:lineRule="auto"/>
        <w:ind w:firstLine="480"/>
        <w:rPr>
          <w:rFonts w:ascii="Times New Roman" w:hAnsi="Times New Roman"/>
        </w:rPr>
      </w:pPr>
      <w:r>
        <w:rPr>
          <w:rFonts w:hint="eastAsia" w:ascii="Times New Roman" w:hAnsi="Times New Roman"/>
        </w:rPr>
        <w:t>2、未从采购代理机构报名并取得磋商文件的；</w:t>
      </w:r>
    </w:p>
    <w:p>
      <w:pPr>
        <w:pStyle w:val="30"/>
        <w:spacing w:line="360" w:lineRule="auto"/>
        <w:ind w:firstLine="480"/>
        <w:rPr>
          <w:rFonts w:ascii="Times New Roman" w:hAnsi="Times New Roman"/>
        </w:rPr>
      </w:pPr>
      <w:r>
        <w:rPr>
          <w:rFonts w:hint="eastAsia" w:ascii="Times New Roman" w:hAnsi="Times New Roman"/>
        </w:rPr>
        <w:t>3、响应文件未按磋商文件规定要求编制、签署、盖章的；</w:t>
      </w:r>
    </w:p>
    <w:p>
      <w:pPr>
        <w:pStyle w:val="30"/>
        <w:spacing w:line="360" w:lineRule="auto"/>
        <w:ind w:firstLine="480"/>
        <w:rPr>
          <w:rFonts w:ascii="Times New Roman" w:hAnsi="Times New Roman"/>
        </w:rPr>
      </w:pPr>
      <w:r>
        <w:rPr>
          <w:rFonts w:hint="eastAsia" w:ascii="Times New Roman" w:hAnsi="Times New Roman"/>
        </w:rPr>
        <w:t>4、报价有效期不满足磋商文件要求的；</w:t>
      </w:r>
    </w:p>
    <w:p>
      <w:pPr>
        <w:pStyle w:val="30"/>
        <w:spacing w:line="360" w:lineRule="auto"/>
        <w:ind w:firstLine="480"/>
        <w:rPr>
          <w:rFonts w:ascii="Times New Roman" w:hAnsi="Times New Roman"/>
        </w:rPr>
      </w:pPr>
      <w:r>
        <w:rPr>
          <w:rFonts w:hint="eastAsia" w:ascii="Times New Roman" w:hAnsi="Times New Roman"/>
        </w:rPr>
        <w:t>5、响应文件含有采购人不能接受的附加条件的；</w:t>
      </w:r>
    </w:p>
    <w:p>
      <w:pPr>
        <w:pStyle w:val="30"/>
        <w:spacing w:line="360" w:lineRule="auto"/>
        <w:ind w:firstLine="480"/>
        <w:rPr>
          <w:rFonts w:ascii="Times New Roman" w:hAnsi="Times New Roman"/>
        </w:rPr>
      </w:pPr>
      <w:r>
        <w:rPr>
          <w:rFonts w:hint="eastAsia" w:ascii="Times New Roman" w:hAnsi="Times New Roman"/>
        </w:rPr>
        <w:t>6、未按磋商文件要求报价的；</w:t>
      </w:r>
    </w:p>
    <w:p>
      <w:pPr>
        <w:pStyle w:val="30"/>
        <w:spacing w:line="360" w:lineRule="auto"/>
        <w:ind w:firstLine="480"/>
        <w:rPr>
          <w:rFonts w:ascii="Times New Roman" w:hAnsi="Times New Roman"/>
        </w:rPr>
      </w:pPr>
      <w:r>
        <w:rPr>
          <w:rFonts w:hint="eastAsia" w:ascii="Times New Roman" w:hAnsi="Times New Roman"/>
        </w:rPr>
        <w:t>7、报价（含首次递交的响应文件报价）超过磋商文件中规定的预算金额或者最高限价的；</w:t>
      </w:r>
    </w:p>
    <w:p>
      <w:pPr>
        <w:pStyle w:val="30"/>
        <w:spacing w:line="360" w:lineRule="auto"/>
        <w:ind w:firstLine="480"/>
        <w:rPr>
          <w:rFonts w:ascii="Times New Roman" w:hAnsi="Times New Roman"/>
        </w:rPr>
      </w:pPr>
      <w:r>
        <w:rPr>
          <w:rFonts w:hint="eastAsia" w:ascii="Times New Roman" w:hAnsi="Times New Roman"/>
        </w:rPr>
        <w:t>8、未经许可，以进口产品参与报价的；</w:t>
      </w:r>
    </w:p>
    <w:p>
      <w:pPr>
        <w:pStyle w:val="30"/>
        <w:spacing w:line="360" w:lineRule="auto"/>
        <w:ind w:firstLine="480"/>
        <w:rPr>
          <w:rFonts w:ascii="Times New Roman" w:hAnsi="Times New Roman"/>
        </w:rPr>
      </w:pPr>
      <w:r>
        <w:rPr>
          <w:rFonts w:hint="eastAsia" w:ascii="Times New Roman" w:hAnsi="Times New Roman"/>
        </w:rPr>
        <w:t>9、响应文件（含首次递交的响应文件）没有对磋商文件的实质性要求部分（包含供应商须知附表要求部分）和条件或标注★部分作出响应或响应不全面、不规范的；</w:t>
      </w:r>
    </w:p>
    <w:p>
      <w:pPr>
        <w:pStyle w:val="30"/>
        <w:spacing w:line="360" w:lineRule="auto"/>
        <w:ind w:firstLine="480"/>
        <w:rPr>
          <w:rFonts w:ascii="Times New Roman" w:hAnsi="Times New Roman"/>
        </w:rPr>
      </w:pPr>
      <w:r>
        <w:rPr>
          <w:rFonts w:hint="eastAsia" w:ascii="Times New Roman" w:hAnsi="Times New Roman"/>
        </w:rPr>
        <w:t>10、有重大偏离且采购人不能接受的；</w:t>
      </w:r>
    </w:p>
    <w:p>
      <w:pPr>
        <w:pStyle w:val="30"/>
        <w:spacing w:line="360" w:lineRule="auto"/>
        <w:ind w:firstLine="480"/>
        <w:rPr>
          <w:rFonts w:ascii="Times New Roman" w:hAnsi="Times New Roman"/>
        </w:rPr>
      </w:pPr>
      <w:r>
        <w:rPr>
          <w:rFonts w:hint="eastAsia" w:ascii="Times New Roman" w:hAnsi="Times New Roman"/>
        </w:rPr>
        <w:t>11、不提供磋商文件要求的任何形式技术资料的；</w:t>
      </w:r>
    </w:p>
    <w:p>
      <w:pPr>
        <w:pStyle w:val="30"/>
        <w:spacing w:line="360" w:lineRule="auto"/>
        <w:ind w:firstLine="480"/>
        <w:rPr>
          <w:rFonts w:ascii="Times New Roman" w:hAnsi="Times New Roman"/>
        </w:rPr>
      </w:pPr>
      <w:r>
        <w:rPr>
          <w:rFonts w:hint="eastAsia" w:ascii="Times New Roman" w:hAnsi="Times New Roman"/>
        </w:rPr>
        <w:t>12、同一供应商提交两个以上不同的响应文件或者报价，但磋商文件要求提交备选方案的除外；</w:t>
      </w:r>
    </w:p>
    <w:p>
      <w:pPr>
        <w:pStyle w:val="30"/>
        <w:spacing w:line="360" w:lineRule="auto"/>
        <w:ind w:firstLine="480"/>
        <w:rPr>
          <w:rFonts w:ascii="Times New Roman" w:hAnsi="Times New Roman"/>
        </w:rPr>
      </w:pPr>
      <w:r>
        <w:rPr>
          <w:rFonts w:hint="eastAsia" w:ascii="Times New Roman" w:hAnsi="Times New Roman"/>
        </w:rPr>
        <w:t>1</w:t>
      </w:r>
      <w:r>
        <w:rPr>
          <w:rFonts w:ascii="Times New Roman" w:hAnsi="Times New Roman"/>
        </w:rPr>
        <w:t>3</w:t>
      </w:r>
      <w:r>
        <w:rPr>
          <w:rFonts w:hint="eastAsia" w:ascii="Times New Roman" w:hAnsi="Times New Roman"/>
        </w:rPr>
        <w:t>、以他人名义报价或者在响应文件中提供虚假材料的；</w:t>
      </w:r>
    </w:p>
    <w:p>
      <w:pPr>
        <w:pStyle w:val="30"/>
        <w:spacing w:line="360" w:lineRule="auto"/>
        <w:ind w:firstLine="480"/>
        <w:rPr>
          <w:rFonts w:ascii="Times New Roman" w:hAnsi="Times New Roman"/>
          <w:b/>
          <w:sz w:val="32"/>
          <w:szCs w:val="32"/>
        </w:rPr>
      </w:pPr>
      <w:r>
        <w:rPr>
          <w:rFonts w:hint="eastAsia" w:ascii="Times New Roman" w:hAnsi="Times New Roman"/>
        </w:rPr>
        <w:t>1</w:t>
      </w:r>
      <w:r>
        <w:rPr>
          <w:rFonts w:ascii="Times New Roman" w:hAnsi="Times New Roman"/>
        </w:rPr>
        <w:t>4</w:t>
      </w:r>
      <w:r>
        <w:rPr>
          <w:rFonts w:hint="eastAsia" w:ascii="Times New Roman" w:hAnsi="Times New Roman"/>
        </w:rPr>
        <w:t>、法律、法规和磋商文件规定的其他无效情形。</w:t>
      </w:r>
      <w:r>
        <w:rPr>
          <w:rFonts w:ascii="Times New Roman" w:hAnsi="Times New Roman"/>
          <w:b/>
          <w:sz w:val="32"/>
          <w:szCs w:val="32"/>
        </w:rPr>
        <w:br w:type="page"/>
      </w:r>
    </w:p>
    <w:p>
      <w:pPr>
        <w:spacing w:line="360" w:lineRule="auto"/>
        <w:ind w:firstLine="0" w:firstLineChars="0"/>
        <w:jc w:val="center"/>
        <w:outlineLvl w:val="0"/>
        <w:rPr>
          <w:rFonts w:ascii="Times New Roman" w:hAnsi="Times New Roman"/>
          <w:b/>
          <w:sz w:val="32"/>
          <w:szCs w:val="32"/>
        </w:rPr>
      </w:pPr>
      <w:bookmarkStart w:id="6" w:name="_Toc81467283"/>
      <w:r>
        <w:rPr>
          <w:rFonts w:hint="eastAsia" w:ascii="Times New Roman" w:hAnsi="Times New Roman"/>
          <w:b/>
          <w:sz w:val="32"/>
          <w:szCs w:val="32"/>
        </w:rPr>
        <w:t>第八部分  技术要求及说明</w:t>
      </w:r>
      <w:bookmarkEnd w:id="6"/>
    </w:p>
    <w:p>
      <w:pPr>
        <w:rPr>
          <w:rFonts w:hint="eastAsia" w:ascii="仿宋" w:hAnsi="仿宋" w:eastAsia="仿宋" w:cs="仿宋"/>
          <w:b/>
          <w:bCs/>
          <w:sz w:val="24"/>
          <w:szCs w:val="24"/>
          <w:lang w:val="en-US" w:eastAsia="zh-CN"/>
        </w:rPr>
      </w:pPr>
      <w:r>
        <w:rPr>
          <w:rFonts w:hint="eastAsia" w:ascii="仿宋" w:hAnsi="仿宋" w:cs="仿宋"/>
          <w:b/>
          <w:bCs/>
          <w:sz w:val="24"/>
          <w:szCs w:val="24"/>
          <w:lang w:val="en-US" w:eastAsia="zh-CN"/>
        </w:rPr>
        <w:t>A包：</w:t>
      </w:r>
      <w:r>
        <w:rPr>
          <w:rFonts w:hint="eastAsia" w:ascii="仿宋" w:hAnsi="仿宋" w:eastAsia="仿宋" w:cs="仿宋"/>
          <w:b/>
          <w:bCs/>
          <w:sz w:val="24"/>
          <w:szCs w:val="24"/>
          <w:lang w:eastAsia="zh-CN"/>
        </w:rPr>
        <w:t>预算：</w:t>
      </w:r>
      <w:r>
        <w:rPr>
          <w:rFonts w:hint="eastAsia" w:ascii="仿宋" w:hAnsi="仿宋" w:eastAsia="仿宋" w:cs="仿宋"/>
          <w:b/>
          <w:bCs/>
          <w:sz w:val="24"/>
          <w:szCs w:val="24"/>
          <w:lang w:val="en-US" w:eastAsia="zh-CN"/>
        </w:rPr>
        <w:t xml:space="preserve">105万元  数量1套  可采进口   </w:t>
      </w:r>
    </w:p>
    <w:tbl>
      <w:tblPr>
        <w:tblStyle w:val="21"/>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757"/>
        <w:gridCol w:w="1311"/>
        <w:gridCol w:w="778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9" w:hRule="atLeast"/>
        </w:trPr>
        <w:tc>
          <w:tcPr>
            <w:tcW w:w="384"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665"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设备名称</w:t>
            </w:r>
          </w:p>
        </w:tc>
        <w:tc>
          <w:tcPr>
            <w:tcW w:w="39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技术参数要求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40" w:hRule="atLeast"/>
        </w:trPr>
        <w:tc>
          <w:tcPr>
            <w:tcW w:w="384"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665" w:type="pct"/>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三维红外运动捕捉系统</w:t>
            </w:r>
            <w:bookmarkStart w:id="7" w:name="_GoBack"/>
            <w:bookmarkEnd w:id="7"/>
          </w:p>
        </w:tc>
        <w:tc>
          <w:tcPr>
            <w:tcW w:w="3950" w:type="pct"/>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一、硬件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 红外线摄像机：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 传感器类型及数量：8台CCD红外线摄像机；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1.2 采集取样频率≥160Hz（全解析度），最快可达≥480Hz；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1.3 精确度：≤0.1mm，用于4×3×3m空间；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1.4 像素：≥5.2M；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1.5 强度红外光波长：850nm；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1.6 红外线摄相机电源提供方式：由计算机工作主机提供；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1.7 以太网网络传输速度：1G比特；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1.8 传输使用接口：千兆比特以太网；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1.9 反光标记侦侧尺寸范围：5-20mm；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1.10 可由软件控制256阶层的灰阶度限制；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1.11 可于任何光线下进行拍摄 ；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1.12 可以预览红外光摄影机所拍摄的全画面照片；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1.13 摄像机输出模式：原始数据；中心圆点坐标；灰阶数据；边缘数据多种；</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 数据整合工作站：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2.1操作系统至少Win10；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2.3 模拟信号接收：32通道模拟讯号接收卡，最大可扩充至64通道；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2.4 可同步控制步态分析、测力板、肌电分析、视频等其他信号输入仪器，可容纳四个视野于单一档案，实现数据内同步。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2.5 可外接摄相机进行实体影像拍摄；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2.6 硬件：一套键盘/鼠标/≥27吋 LCD 显示器、一套多类型标记、可综合所有本系统内配套设备；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2.7 采集信号完全与视频数字信号同步；</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2.8 可自由建立使用者所需的模型，包括≥10种常用的Davis模型、HelenHayes模型、Oxford模型、SHCG足部模型、DIGIVIC模型、上肢模型、颈椎脊柱活动度模型、HelenHayes运动平板模型，全身运动模型、客户订制化模型，包括头、躯干、上肢、下肢建立三维空间肢段的模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2.9可做三维空间校正，计算捕捉空间数据误差值；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2.10 可实时计算被遮蔽或消失之光点；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2.11动作采集摄影机可与数字摄影机每一帧在同一时间轴上同步纪录并播放；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2.12可建立肢段模型，计算虚拟标记坐标和关节中心，建立各肢段之坐标系统。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3.测力台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3.1 测力板2块，单块感应面积≥60×40cm，最小厚度≤10cm，重量≥25kg。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3.2 量程：0-8KN，≥4级软件控制：可调；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3.3 压力电压触发阈值≥50mV/N ，固有采集频率≥200Hz。</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3.4 工作温度范围：0～60℃；</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3.5 软件力学数据指标能提供如纵跳高度，起跳速度，最大速度，起跳峰值力值，峰值功率，速度下降率，力值变化率，压力中心轨迹，左右侧差异等。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3.6 软件可获得以下数据：三分力Fx、Fy、Fz和三分力矩Mx、My、Mz，压力中心COP，摩擦系数COF、功率等。</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3.7 载荷 Fx, Fy：≥2500(N)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3.8 载荷 Fz：≥10000 (N)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3.9 频率 Fx, Fy：≥360 (Hz)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3.10 频率 Fz：≥500 (Hz) ；敏感度：≤50mV/N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3.11可与红外动作捕捉系统、表面肌电系统帧帧同步采集分析</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3.12 测力台具有≥4个量程范围,可以根据研究需求选取合适量程。</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3.13 两套软件系统：基础生物力学数据采集分析软件和模块式测力台测试测量分析软件。</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3.14 可根据场地及应用需要配置不同数量的测力台。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3.15 测力台由4个传感器分布于四角。</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3.16 每个传感器X-Y轴方向测力范围可选：±100N；±500N；±1000N；±2000N。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3.17 每个传感器Z轴方向测力范围可选：100N ；500N； 1000N ；2000N</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3.18 静态测试中可以测到受试者的重心移动轨迹。</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3.19 软件能提供扫描图Px-时间和Py-时间，绘制跟踪图，柱状图、雷达图、扇形图、星图平均值、星图求和图、摇摆密度、频率分析等图标。</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4.基本配置</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 xml:space="preserve">4.1 三维红外摄像机6个 </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4.2 采集工作站1个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4.3 分析软件1套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4.4 Mark球100个</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4.5 测力台2块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4.6 打印机1台</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4.7 标定杆1套</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4.8 显示器1台</w:t>
            </w:r>
          </w:p>
        </w:tc>
      </w:tr>
    </w:tbl>
    <w:p>
      <w:pPr>
        <w:rPr>
          <w:rFonts w:hint="eastAsia" w:ascii="宋体" w:hAnsi="宋体" w:eastAsia="宋体" w:cs="宋体"/>
          <w:sz w:val="24"/>
          <w:szCs w:val="24"/>
        </w:rPr>
      </w:pPr>
    </w:p>
    <w:p>
      <w:pPr>
        <w:rPr>
          <w:rFonts w:hint="eastAsia" w:ascii="仿宋" w:hAnsi="仿宋" w:eastAsia="仿宋" w:cs="仿宋"/>
          <w:b w:val="0"/>
          <w:bCs w:val="0"/>
          <w:sz w:val="24"/>
          <w:szCs w:val="24"/>
          <w:lang w:eastAsia="zh-CN"/>
        </w:rPr>
      </w:pPr>
      <w:r>
        <w:rPr>
          <w:rFonts w:hint="eastAsia"/>
          <w:lang w:val="en-US" w:eastAsia="zh-CN"/>
        </w:rPr>
        <w:br w:type="page"/>
      </w:r>
    </w:p>
    <w:p>
      <w:pPr>
        <w:ind w:left="0" w:leftChars="0" w:firstLine="0" w:firstLineChars="0"/>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售后服务保障</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1、厂家提供免费安装、培训服务，并提供维护手册、维修手册、软件备份、故障代码表、备件清单、零部件、维修密码等维护维修必需的材料和信息。</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2、厂家工程师至少每年保养机器一次。</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3、设备相关软件终身免费升级。</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4、随机附带快速操作流程（纸质压膜）2套。</w:t>
      </w:r>
    </w:p>
    <w:p>
      <w:pPr>
        <w:pStyle w:val="2"/>
        <w:ind w:left="0" w:leftChars="0" w:firstLine="480"/>
        <w:rPr>
          <w:rFonts w:hint="eastAsia" w:ascii="仿宋" w:hAnsi="仿宋" w:eastAsia="仿宋" w:cs="仿宋"/>
          <w:b w:val="0"/>
          <w:bCs w:val="0"/>
          <w:color w:val="auto"/>
          <w:highlight w:val="none"/>
        </w:rPr>
      </w:pPr>
      <w:r>
        <w:rPr>
          <w:rFonts w:hint="eastAsia" w:ascii="仿宋" w:hAnsi="仿宋" w:eastAsia="仿宋" w:cs="仿宋"/>
          <w:b w:val="0"/>
          <w:bCs w:val="0"/>
          <w:color w:val="auto"/>
          <w:sz w:val="24"/>
          <w:szCs w:val="24"/>
          <w:highlight w:val="none"/>
        </w:rPr>
        <w:t>5、交货期：自行填写（或按甲方要求）。</w:t>
      </w:r>
    </w:p>
    <w:p>
      <w:pPr>
        <w:spacing w:line="360" w:lineRule="auto"/>
        <w:ind w:firstLine="480" w:firstLineChars="200"/>
        <w:rPr>
          <w:rFonts w:hint="eastAsia" w:ascii="仿宋" w:hAnsi="仿宋" w:eastAsia="仿宋" w:cs="仿宋"/>
          <w:b w:val="0"/>
          <w:bCs w:val="0"/>
          <w:color w:val="auto"/>
          <w:sz w:val="24"/>
          <w:highlight w:val="none"/>
        </w:rPr>
      </w:pPr>
      <w:r>
        <w:rPr>
          <w:rFonts w:hint="eastAsia" w:ascii="仿宋" w:hAnsi="仿宋" w:eastAsia="仿宋" w:cs="仿宋"/>
          <w:b w:val="0"/>
          <w:bCs w:val="0"/>
          <w:color w:val="auto"/>
          <w:sz w:val="24"/>
          <w:highlight w:val="none"/>
        </w:rPr>
        <w:t>6、交货地点：严格按照国家相关要求的运输方式送到用户指定地点。</w:t>
      </w:r>
    </w:p>
    <w:p>
      <w:pPr>
        <w:rPr>
          <w:rFonts w:hint="eastAsia" w:ascii="仿宋" w:hAnsi="仿宋" w:eastAsia="仿宋" w:cs="仿宋"/>
          <w:color w:val="auto"/>
          <w:highlight w:val="none"/>
          <w:lang w:val="en-US" w:eastAsia="zh-CN"/>
        </w:rPr>
      </w:pPr>
      <w:r>
        <w:rPr>
          <w:rFonts w:hint="eastAsia" w:ascii="仿宋" w:hAnsi="仿宋" w:eastAsia="仿宋" w:cs="仿宋"/>
          <w:b w:val="0"/>
          <w:bCs w:val="0"/>
          <w:color w:val="auto"/>
          <w:sz w:val="24"/>
          <w:szCs w:val="24"/>
          <w:highlight w:val="none"/>
          <w:lang w:val="en-US" w:eastAsia="zh-CN"/>
        </w:rPr>
        <w:t>7、质保期：</w:t>
      </w:r>
      <w:r>
        <w:rPr>
          <w:rFonts w:hint="eastAsia" w:ascii="仿宋" w:hAnsi="仿宋" w:cs="仿宋"/>
          <w:b w:val="0"/>
          <w:bCs w:val="0"/>
          <w:color w:val="auto"/>
          <w:sz w:val="24"/>
          <w:szCs w:val="24"/>
          <w:highlight w:val="none"/>
          <w:lang w:val="en-US" w:eastAsia="zh-CN"/>
        </w:rPr>
        <w:t>1年 ；</w:t>
      </w:r>
    </w:p>
    <w:p>
      <w:pPr>
        <w:pStyle w:val="2"/>
        <w:keepNext w:val="0"/>
        <w:keepLines w:val="0"/>
        <w:pageBreakBefore w:val="0"/>
        <w:widowControl/>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8、供货地点：所有产品的供货、安装地点均由用户指定。</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付款方式：</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lang w:eastAsia="zh-CN"/>
        </w:rPr>
        <w:t>国产设备：合</w:t>
      </w:r>
      <w:r>
        <w:rPr>
          <w:rFonts w:hint="eastAsia" w:ascii="宋体" w:hAnsi="宋体" w:cs="宋体"/>
          <w:color w:val="auto"/>
          <w:sz w:val="24"/>
          <w:highlight w:val="none"/>
        </w:rPr>
        <w:t>同签订后成交供应商向采购人指定账户缴纳合同金额5%的履约保证金。在合同签订生效且具备实施条件后，成交供应商向项目负责人或指定人申请合同金额</w:t>
      </w:r>
      <w:r>
        <w:rPr>
          <w:rFonts w:hint="eastAsia" w:ascii="宋体" w:hAnsi="宋体" w:cs="宋体"/>
          <w:color w:val="auto"/>
          <w:sz w:val="24"/>
          <w:highlight w:val="none"/>
          <w:lang w:val="en-US" w:eastAsia="zh-CN"/>
        </w:rPr>
        <w:t>70</w:t>
      </w:r>
      <w:r>
        <w:rPr>
          <w:rFonts w:hint="eastAsia" w:ascii="宋体" w:hAnsi="宋体" w:cs="宋体"/>
          <w:color w:val="auto"/>
          <w:sz w:val="24"/>
          <w:highlight w:val="none"/>
        </w:rPr>
        <w:t>%的预付款，采购人确定后7个工作日内支付。项目验收合格、审计定案（若需要）后7个工作日内，支付剩余合同货款。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进口设备：中标后合同签订</w:t>
      </w:r>
      <w:r>
        <w:rPr>
          <w:rFonts w:hint="eastAsia" w:ascii="宋体" w:hAnsi="宋体" w:cs="宋体"/>
          <w:color w:val="auto"/>
          <w:sz w:val="24"/>
          <w:highlight w:val="none"/>
          <w:lang w:eastAsia="zh-CN"/>
        </w:rPr>
        <w:t>后</w:t>
      </w:r>
      <w:r>
        <w:rPr>
          <w:rFonts w:hint="eastAsia" w:ascii="宋体" w:hAnsi="宋体" w:cs="宋体"/>
          <w:color w:val="auto"/>
          <w:sz w:val="24"/>
          <w:highlight w:val="none"/>
        </w:rPr>
        <w:t>中标人向采购人指定账户缴纳合同金额5%的履约保证金。在合同签订生效且具备实施条件后，外贸公司向项目负责人或指定人申请合同金额70%的预付款，采购人确定后7个工作日内支付。信用证开立后7个工作日内，支付剩余合同货款。</w:t>
      </w:r>
    </w:p>
    <w:p>
      <w:pPr>
        <w:pStyle w:val="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color w:val="auto"/>
          <w:sz w:val="24"/>
          <w:highlight w:val="none"/>
        </w:rPr>
      </w:pPr>
      <w:r>
        <w:rPr>
          <w:rFonts w:hint="eastAsia" w:ascii="宋体" w:hAnsi="宋体" w:cs="宋体"/>
          <w:color w:val="auto"/>
          <w:sz w:val="24"/>
          <w:highlight w:val="none"/>
        </w:rPr>
        <w:t>外贸公司开具以中标人指定的国外生产商为受益人的不可撤销即期信用证，或货到后电汇。</w:t>
      </w:r>
    </w:p>
    <w:p>
      <w:pPr>
        <w:pStyle w:val="2"/>
        <w:spacing w:line="360" w:lineRule="auto"/>
        <w:ind w:left="0" w:leftChars="0"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履约保证金提交形式：电汇形式、银行汇票、履约保函</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履约保证金在验收合格后满一年</w:t>
      </w:r>
      <w:r>
        <w:rPr>
          <w:rFonts w:hint="eastAsia" w:ascii="仿宋" w:hAnsi="仿宋" w:cs="仿宋"/>
          <w:color w:val="auto"/>
          <w:sz w:val="24"/>
          <w:highlight w:val="none"/>
          <w:lang w:eastAsia="zh-CN"/>
        </w:rPr>
        <w:t>后</w:t>
      </w:r>
      <w:r>
        <w:rPr>
          <w:rFonts w:hint="eastAsia" w:ascii="仿宋" w:hAnsi="仿宋" w:eastAsia="仿宋" w:cs="仿宋"/>
          <w:color w:val="auto"/>
          <w:sz w:val="24"/>
          <w:highlight w:val="none"/>
        </w:rPr>
        <w:t>，没有任何质量问题，由中标人向采购人提交申请，采购人根据履约情况无息退还给中标人</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2）履约保证金缴纳信息;</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户  名：山东第一医科大学</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账  号：15126101040096666</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开户行：中国农业银行股份有限公司济南槐荫支行</w:t>
      </w:r>
    </w:p>
    <w:p>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3）增值税发票开具信息：</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名  称： 山东第一医科大学 </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识别号： 12370000MB2865235G</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地  址： 济南市槐荫区青岛路6699号</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电  话： 0538-6229987</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账户名称：山东第一医科大学</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账  号：15518501040000160</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开户行：中国农业银行股份有限公司泰安旅游开发区分理处</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机构代码（大额支付银行行号）：103463051852</w:t>
      </w:r>
    </w:p>
    <w:p>
      <w:pPr>
        <w:pStyle w:val="2"/>
        <w:ind w:left="0" w:leftChars="0" w:firstLine="480" w:firstLineChars="200"/>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11、外贸公司</w:t>
      </w:r>
    </w:p>
    <w:tbl>
      <w:tblPr>
        <w:tblStyle w:val="21"/>
        <w:tblW w:w="5000" w:type="pct"/>
        <w:tblInd w:w="0" w:type="dxa"/>
        <w:tblLayout w:type="fixed"/>
        <w:tblCellMar>
          <w:top w:w="0" w:type="dxa"/>
          <w:left w:w="108" w:type="dxa"/>
          <w:bottom w:w="0" w:type="dxa"/>
          <w:right w:w="108" w:type="dxa"/>
        </w:tblCellMar>
      </w:tblPr>
      <w:tblGrid>
        <w:gridCol w:w="855"/>
        <w:gridCol w:w="5275"/>
        <w:gridCol w:w="3725"/>
      </w:tblGrid>
      <w:tr>
        <w:tblPrEx>
          <w:tblCellMar>
            <w:top w:w="0" w:type="dxa"/>
            <w:left w:w="108" w:type="dxa"/>
            <w:bottom w:w="0" w:type="dxa"/>
            <w:right w:w="108" w:type="dxa"/>
          </w:tblCellMar>
        </w:tblPrEx>
        <w:trPr>
          <w:trHeight w:val="535" w:hRule="atLeast"/>
        </w:trPr>
        <w:tc>
          <w:tcPr>
            <w:tcW w:w="5000" w:type="pct"/>
            <w:gridSpan w:val="3"/>
            <w:tcBorders>
              <w:top w:val="nil"/>
              <w:left w:val="nil"/>
              <w:bottom w:val="nil"/>
              <w:right w:val="nil"/>
            </w:tcBorders>
            <w:noWrap/>
            <w:vAlign w:val="center"/>
          </w:tcPr>
          <w:p>
            <w:pPr>
              <w:widowControl/>
              <w:jc w:val="center"/>
              <w:textAlignment w:val="center"/>
              <w:rPr>
                <w:rFonts w:hint="eastAsia" w:ascii="仿宋" w:hAnsi="仿宋" w:eastAsia="仿宋" w:cs="仿宋"/>
                <w:color w:val="auto"/>
                <w:sz w:val="32"/>
                <w:szCs w:val="32"/>
                <w:highlight w:val="none"/>
              </w:rPr>
            </w:pPr>
            <w:r>
              <w:rPr>
                <w:rFonts w:hint="eastAsia" w:ascii="仿宋" w:hAnsi="仿宋" w:eastAsia="仿宋" w:cs="仿宋"/>
                <w:color w:val="auto"/>
                <w:kern w:val="0"/>
                <w:sz w:val="32"/>
                <w:szCs w:val="32"/>
                <w:highlight w:val="none"/>
                <w:lang w:bidi="ar"/>
              </w:rPr>
              <w:t>外贸代理价格</w:t>
            </w:r>
          </w:p>
        </w:tc>
      </w:tr>
      <w:tr>
        <w:tblPrEx>
          <w:tblCellMar>
            <w:top w:w="0" w:type="dxa"/>
            <w:left w:w="108" w:type="dxa"/>
            <w:bottom w:w="0" w:type="dxa"/>
            <w:right w:w="108" w:type="dxa"/>
          </w:tblCellMar>
        </w:tblPrEx>
        <w:trPr>
          <w:trHeight w:val="62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ind w:left="0" w:leftChars="0" w:firstLine="0" w:firstLineChars="0"/>
              <w:jc w:val="both"/>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序号</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sz w:val="24"/>
                <w:highlight w:val="none"/>
              </w:rPr>
            </w:pPr>
            <w:r>
              <w:rPr>
                <w:rFonts w:hint="eastAsia" w:ascii="仿宋" w:hAnsi="仿宋" w:eastAsia="仿宋" w:cs="仿宋"/>
                <w:color w:val="auto"/>
                <w:kern w:val="0"/>
                <w:sz w:val="24"/>
                <w:highlight w:val="none"/>
                <w:lang w:bidi="ar"/>
              </w:rPr>
              <w:t>分段</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spacing w:line="400" w:lineRule="exact"/>
              <w:ind w:firstLine="480" w:firstLineChars="200"/>
              <w:jc w:val="center"/>
              <w:rPr>
                <w:rFonts w:hint="eastAsia" w:ascii="仿宋" w:hAnsi="仿宋" w:eastAsia="仿宋" w:cs="仿宋"/>
                <w:color w:val="auto"/>
                <w:sz w:val="24"/>
                <w:highlight w:val="none"/>
              </w:rPr>
            </w:pPr>
            <w:r>
              <w:rPr>
                <w:rFonts w:hint="eastAsia"/>
                <w:color w:val="auto"/>
                <w:sz w:val="24"/>
                <w:szCs w:val="24"/>
                <w:highlight w:val="none"/>
              </w:rPr>
              <w:t>山东润文国际经贸有限公司</w:t>
            </w:r>
          </w:p>
        </w:tc>
      </w:tr>
      <w:tr>
        <w:tblPrEx>
          <w:tblCellMar>
            <w:top w:w="0" w:type="dxa"/>
            <w:left w:w="108" w:type="dxa"/>
            <w:bottom w:w="0" w:type="dxa"/>
            <w:right w:w="108" w:type="dxa"/>
          </w:tblCellMar>
        </w:tblPrEx>
        <w:trPr>
          <w:trHeight w:val="658"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1</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1.50%</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2</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合同金额在30万元以上80万元以下（含）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1.40%</w:t>
            </w:r>
          </w:p>
        </w:tc>
      </w:tr>
      <w:tr>
        <w:tblPrEx>
          <w:tblCellMar>
            <w:top w:w="0" w:type="dxa"/>
            <w:left w:w="108" w:type="dxa"/>
            <w:bottom w:w="0" w:type="dxa"/>
            <w:right w:w="108" w:type="dxa"/>
          </w:tblCellMar>
        </w:tblPrEx>
        <w:trPr>
          <w:trHeight w:val="630"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3</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合同金额在80万元以上300万元以下（含）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1.00%</w:t>
            </w:r>
          </w:p>
        </w:tc>
      </w:tr>
      <w:tr>
        <w:tblPrEx>
          <w:tblCellMar>
            <w:top w:w="0" w:type="dxa"/>
            <w:left w:w="108" w:type="dxa"/>
            <w:bottom w:w="0" w:type="dxa"/>
            <w:right w:w="108" w:type="dxa"/>
          </w:tblCellMar>
        </w:tblPrEx>
        <w:trPr>
          <w:trHeight w:val="559"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4</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合同金额在300万元以上1000万元以下（含）</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0.60%</w:t>
            </w:r>
          </w:p>
        </w:tc>
      </w:tr>
      <w:tr>
        <w:tblPrEx>
          <w:tblCellMar>
            <w:top w:w="0" w:type="dxa"/>
            <w:left w:w="108" w:type="dxa"/>
            <w:bottom w:w="0" w:type="dxa"/>
            <w:right w:w="108" w:type="dxa"/>
          </w:tblCellMar>
        </w:tblPrEx>
        <w:trPr>
          <w:trHeight w:val="626" w:hRule="atLeast"/>
        </w:trPr>
        <w:tc>
          <w:tcPr>
            <w:tcW w:w="434"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5</w:t>
            </w:r>
          </w:p>
        </w:tc>
        <w:tc>
          <w:tcPr>
            <w:tcW w:w="2676"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hint="eastAsia" w:ascii="仿宋" w:hAnsi="仿宋" w:eastAsia="仿宋" w:cs="仿宋"/>
                <w:color w:val="auto"/>
                <w:kern w:val="0"/>
                <w:sz w:val="24"/>
                <w:highlight w:val="none"/>
                <w:lang w:bidi="ar"/>
              </w:rPr>
            </w:pPr>
            <w:r>
              <w:rPr>
                <w:rFonts w:hint="eastAsia" w:ascii="仿宋" w:hAnsi="仿宋" w:eastAsia="仿宋" w:cs="仿宋"/>
                <w:color w:val="auto"/>
                <w:kern w:val="0"/>
                <w:sz w:val="24"/>
                <w:highlight w:val="none"/>
                <w:lang w:bidi="ar"/>
              </w:rPr>
              <w:t>合同金额在1000万元以上</w:t>
            </w:r>
          </w:p>
        </w:tc>
        <w:tc>
          <w:tcPr>
            <w:tcW w:w="3511" w:type="dxa"/>
            <w:tcBorders>
              <w:top w:val="single" w:color="000000" w:sz="4" w:space="0"/>
              <w:left w:val="single" w:color="000000" w:sz="4" w:space="0"/>
              <w:bottom w:val="single" w:color="000000" w:sz="4" w:space="0"/>
              <w:right w:val="single" w:color="000000" w:sz="4" w:space="0"/>
            </w:tcBorders>
            <w:noWrap/>
            <w:vAlign w:val="center"/>
          </w:tcPr>
          <w:p>
            <w:pPr>
              <w:ind w:firstLine="480" w:firstLineChars="200"/>
              <w:jc w:val="center"/>
              <w:rPr>
                <w:rFonts w:hint="eastAsia" w:ascii="仿宋" w:hAnsi="仿宋" w:eastAsia="仿宋" w:cs="仿宋"/>
                <w:color w:val="auto"/>
                <w:kern w:val="0"/>
                <w:sz w:val="24"/>
                <w:highlight w:val="none"/>
                <w:lang w:bidi="ar"/>
              </w:rPr>
            </w:pPr>
            <w:r>
              <w:rPr>
                <w:rFonts w:hint="eastAsia"/>
                <w:color w:val="auto"/>
                <w:highlight w:val="none"/>
              </w:rPr>
              <w:t>0.40%</w:t>
            </w:r>
          </w:p>
        </w:tc>
      </w:tr>
    </w:tbl>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注：1</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以上代理服务费为从签订三方合同到设备到甲方期间所产生的全部费用，含代办免税、批件手续以及有关进口环节发生的费用(如银行用费用、报关费、仓储费、送货费等)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海运设备及大型超重设备的运费及装卸费用,由外贸代理服务商与中标商另行商议。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代理服务费不含海关根据政策不批准免税所发生的海关税费。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其他特殊情况产生的费用,由甲方同外贸代理服务商双方协商决定。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Cs w:val="24"/>
          <w:highlight w:val="none"/>
          <w:lang w:val="en-US" w:eastAsia="zh-CN"/>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rPr>
        <w:t>、若有其他优惠请自报。</w:t>
      </w:r>
    </w:p>
    <w:p>
      <w:pPr>
        <w:pStyle w:val="42"/>
        <w:spacing w:line="360" w:lineRule="auto"/>
        <w:ind w:firstLine="560"/>
        <w:rPr>
          <w:rFonts w:ascii="仿宋_GB2312" w:hAnsi="宋体" w:eastAsia="仿宋_GB2312" w:cs="宋体"/>
          <w:bCs/>
          <w:sz w:val="28"/>
          <w:szCs w:val="28"/>
        </w:rPr>
      </w:pPr>
    </w:p>
    <w:sectPr>
      <w:headerReference r:id="rId11" w:type="default"/>
      <w:footerReference r:id="rId12" w:type="default"/>
      <w:pgSz w:w="11906" w:h="16838"/>
      <w:pgMar w:top="1020" w:right="991" w:bottom="1440" w:left="1276" w:header="851" w:footer="992" w:gutter="0"/>
      <w:pgNumType w:start="1"/>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docPartObj>
        <w:docPartGallery w:val="autotext"/>
      </w:docPartObj>
    </w:sdtPr>
    <w:sdtEndPr>
      <w:rPr>
        <w:rFonts w:ascii="Times New Roman" w:hAnsi="Times New Roman"/>
      </w:rPr>
    </w:sdtEndPr>
    <w:sdtContent>
      <w:p>
        <w:pPr>
          <w:pStyle w:val="15"/>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left"/>
      <w:rPr>
        <w:rFonts w:hint="eastAsia"/>
        <w:lang w:eastAsia="zh-CN"/>
      </w:rPr>
    </w:pPr>
    <w:r>
      <w:rPr>
        <w:rFonts w:hint="eastAsia"/>
        <w:lang w:eastAsia="zh-CN"/>
      </w:rPr>
      <w:t>山东第一医科大学（山东省医学科学院）双高建设中西医结合特色学科专用设备购置</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C68BF"/>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F30"/>
    <w:rsid w:val="00B0773F"/>
    <w:rsid w:val="00B10E8D"/>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75637DD"/>
    <w:rsid w:val="082E0105"/>
    <w:rsid w:val="09063A89"/>
    <w:rsid w:val="0B536D2E"/>
    <w:rsid w:val="0DE60629"/>
    <w:rsid w:val="0E753EF5"/>
    <w:rsid w:val="1491260A"/>
    <w:rsid w:val="152627CF"/>
    <w:rsid w:val="15A32D0F"/>
    <w:rsid w:val="20BD5BB9"/>
    <w:rsid w:val="216B7C05"/>
    <w:rsid w:val="273B08EE"/>
    <w:rsid w:val="29286B8A"/>
    <w:rsid w:val="2E6E4C8A"/>
    <w:rsid w:val="30926B16"/>
    <w:rsid w:val="31537385"/>
    <w:rsid w:val="31832300"/>
    <w:rsid w:val="34A75871"/>
    <w:rsid w:val="36301896"/>
    <w:rsid w:val="36E342CE"/>
    <w:rsid w:val="3B0F3982"/>
    <w:rsid w:val="402C195C"/>
    <w:rsid w:val="40752FE6"/>
    <w:rsid w:val="40D73BA8"/>
    <w:rsid w:val="487773F6"/>
    <w:rsid w:val="4E5C73E5"/>
    <w:rsid w:val="4F0C0C9A"/>
    <w:rsid w:val="4F934F18"/>
    <w:rsid w:val="4F9B00EC"/>
    <w:rsid w:val="51E101BC"/>
    <w:rsid w:val="59611BE3"/>
    <w:rsid w:val="622B2D11"/>
    <w:rsid w:val="6B8777B9"/>
    <w:rsid w:val="71686BB4"/>
    <w:rsid w:val="75390472"/>
    <w:rsid w:val="75BB6235"/>
    <w:rsid w:val="78B73A67"/>
    <w:rsid w:val="7C821E87"/>
    <w:rsid w:val="7D420C18"/>
    <w:rsid w:val="7DF07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5">
    <w:name w:val="heading 1"/>
    <w:basedOn w:val="1"/>
    <w:next w:val="1"/>
    <w:link w:val="33"/>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7"/>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spacing w:line="360" w:lineRule="auto"/>
    </w:pPr>
    <w:rPr>
      <w:rFonts w:ascii="Arial" w:hAnsi="Arial"/>
      <w:sz w:val="24"/>
    </w:rPr>
  </w:style>
  <w:style w:type="paragraph" w:styleId="8">
    <w:name w:val="Normal Indent"/>
    <w:basedOn w:val="1"/>
    <w:unhideWhenUsed/>
    <w:qFormat/>
    <w:uiPriority w:val="0"/>
    <w:pPr>
      <w:ind w:firstLine="420"/>
    </w:pPr>
  </w:style>
  <w:style w:type="paragraph" w:styleId="9">
    <w:name w:val="caption"/>
    <w:basedOn w:val="1"/>
    <w:next w:val="1"/>
    <w:qFormat/>
    <w:uiPriority w:val="0"/>
    <w:pPr>
      <w:spacing w:before="152" w:after="160"/>
    </w:pPr>
    <w:rPr>
      <w:rFonts w:ascii="Arial" w:hAnsi="Arial" w:eastAsia="黑体" w:cs="Arial"/>
      <w:sz w:val="20"/>
    </w:rPr>
  </w:style>
  <w:style w:type="paragraph" w:styleId="10">
    <w:name w:val="annotation text"/>
    <w:basedOn w:val="1"/>
    <w:link w:val="40"/>
    <w:qFormat/>
    <w:uiPriority w:val="99"/>
    <w:pPr>
      <w:spacing w:line="240" w:lineRule="auto"/>
      <w:ind w:firstLine="0" w:firstLineChars="0"/>
    </w:pPr>
    <w:rPr>
      <w:rFonts w:ascii="Times New Roman" w:hAnsi="Times New Roman" w:eastAsiaTheme="minorEastAsia" w:cstheme="minorBidi"/>
      <w:sz w:val="21"/>
      <w:szCs w:val="24"/>
    </w:rPr>
  </w:style>
  <w:style w:type="paragraph" w:styleId="11">
    <w:name w:val="Body Text 3"/>
    <w:basedOn w:val="1"/>
    <w:link w:val="34"/>
    <w:semiHidden/>
    <w:unhideWhenUsed/>
    <w:qFormat/>
    <w:uiPriority w:val="99"/>
    <w:pPr>
      <w:spacing w:after="120"/>
    </w:pPr>
    <w:rPr>
      <w:sz w:val="16"/>
      <w:szCs w:val="16"/>
    </w:rPr>
  </w:style>
  <w:style w:type="paragraph" w:styleId="12">
    <w:name w:val="Body Text"/>
    <w:basedOn w:val="1"/>
    <w:qFormat/>
    <w:uiPriority w:val="0"/>
    <w:pPr>
      <w:spacing w:after="120"/>
    </w:pPr>
  </w:style>
  <w:style w:type="paragraph" w:styleId="13">
    <w:name w:val="Plain Text"/>
    <w:basedOn w:val="1"/>
    <w:link w:val="35"/>
    <w:qFormat/>
    <w:uiPriority w:val="0"/>
    <w:rPr>
      <w:rFonts w:ascii="宋体" w:hAnsi="Courier New" w:eastAsia="宋体"/>
      <w:sz w:val="21"/>
    </w:rPr>
  </w:style>
  <w:style w:type="paragraph" w:styleId="14">
    <w:name w:val="Balloon Text"/>
    <w:basedOn w:val="1"/>
    <w:link w:val="44"/>
    <w:semiHidden/>
    <w:unhideWhenUsed/>
    <w:qFormat/>
    <w:uiPriority w:val="99"/>
    <w:pPr>
      <w:spacing w:line="240" w:lineRule="auto"/>
    </w:pPr>
    <w:rPr>
      <w:sz w:val="18"/>
      <w:szCs w:val="18"/>
    </w:rPr>
  </w:style>
  <w:style w:type="paragraph" w:styleId="15">
    <w:name w:val="footer"/>
    <w:basedOn w:val="1"/>
    <w:link w:val="26"/>
    <w:unhideWhenUsed/>
    <w:qFormat/>
    <w:uiPriority w:val="99"/>
    <w:pPr>
      <w:tabs>
        <w:tab w:val="center" w:pos="4153"/>
        <w:tab w:val="right" w:pos="8306"/>
      </w:tabs>
      <w:snapToGrid w:val="0"/>
    </w:pPr>
    <w:rPr>
      <w:sz w:val="18"/>
      <w:szCs w:val="18"/>
    </w:rPr>
  </w:style>
  <w:style w:type="paragraph" w:styleId="16">
    <w:name w:val="header"/>
    <w:basedOn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unhideWhenUsed/>
    <w:qFormat/>
    <w:uiPriority w:val="39"/>
    <w:rPr>
      <w:rFonts w:ascii="Times New Roman" w:hAnsi="Times New Roman"/>
    </w:rPr>
  </w:style>
  <w:style w:type="paragraph" w:styleId="18">
    <w:name w:val="toc 2"/>
    <w:basedOn w:val="1"/>
    <w:next w:val="1"/>
    <w:unhideWhenUsed/>
    <w:qFormat/>
    <w:uiPriority w:val="39"/>
    <w:pPr>
      <w:ind w:firstLine="400" w:firstLineChars="400"/>
    </w:pPr>
    <w:rPr>
      <w:rFonts w:ascii="Times New Roman" w:hAnsi="Times New Roman"/>
    </w:rPr>
  </w:style>
  <w:style w:type="paragraph" w:styleId="19">
    <w:name w:val="Normal (Web)"/>
    <w:basedOn w:val="1"/>
    <w:qFormat/>
    <w:uiPriority w:val="0"/>
    <w:pPr>
      <w:widowControl/>
      <w:spacing w:before="100" w:beforeAutospacing="1" w:after="100" w:afterAutospacing="1"/>
    </w:pPr>
    <w:rPr>
      <w:rFonts w:ascii="宋体" w:hAnsi="宋体" w:cs="宋体"/>
      <w:kern w:val="0"/>
      <w:szCs w:val="24"/>
    </w:rPr>
  </w:style>
  <w:style w:type="paragraph" w:styleId="20">
    <w:name w:val="annotation subject"/>
    <w:basedOn w:val="10"/>
    <w:next w:val="10"/>
    <w:link w:val="43"/>
    <w:semiHidden/>
    <w:unhideWhenUsed/>
    <w:qFormat/>
    <w:uiPriority w:val="99"/>
    <w:pPr>
      <w:spacing w:line="360" w:lineRule="auto"/>
      <w:ind w:firstLine="200" w:firstLineChars="200"/>
    </w:pPr>
    <w:rPr>
      <w:rFonts w:ascii="Calibri" w:hAnsi="Calibri" w:eastAsia="仿宋" w:cs="Times New Roman"/>
      <w:b/>
      <w:bCs/>
      <w:sz w:val="24"/>
      <w:szCs w:val="20"/>
    </w:rPr>
  </w:style>
  <w:style w:type="character" w:styleId="23">
    <w:name w:val="Hyperlink"/>
    <w:basedOn w:val="22"/>
    <w:unhideWhenUsed/>
    <w:qFormat/>
    <w:uiPriority w:val="99"/>
    <w:rPr>
      <w:color w:val="0000FF" w:themeColor="hyperlink"/>
      <w:u w:val="single"/>
      <w14:textFill>
        <w14:solidFill>
          <w14:schemeClr w14:val="hlink"/>
        </w14:solidFill>
      </w14:textFill>
    </w:rPr>
  </w:style>
  <w:style w:type="character" w:styleId="24">
    <w:name w:val="annotation reference"/>
    <w:basedOn w:val="22"/>
    <w:semiHidden/>
    <w:unhideWhenUsed/>
    <w:qFormat/>
    <w:uiPriority w:val="99"/>
    <w:rPr>
      <w:sz w:val="21"/>
      <w:szCs w:val="21"/>
    </w:rPr>
  </w:style>
  <w:style w:type="character" w:customStyle="1" w:styleId="25">
    <w:name w:val="页眉 字符"/>
    <w:basedOn w:val="22"/>
    <w:link w:val="16"/>
    <w:qFormat/>
    <w:uiPriority w:val="99"/>
    <w:rPr>
      <w:sz w:val="18"/>
      <w:szCs w:val="18"/>
    </w:rPr>
  </w:style>
  <w:style w:type="character" w:customStyle="1" w:styleId="26">
    <w:name w:val="页脚 字符"/>
    <w:basedOn w:val="22"/>
    <w:link w:val="15"/>
    <w:qFormat/>
    <w:uiPriority w:val="99"/>
    <w:rPr>
      <w:sz w:val="18"/>
      <w:szCs w:val="18"/>
    </w:rPr>
  </w:style>
  <w:style w:type="character" w:customStyle="1" w:styleId="27">
    <w:name w:val="正文文本缩进 字符"/>
    <w:link w:val="3"/>
    <w:qFormat/>
    <w:uiPriority w:val="99"/>
    <w:rPr>
      <w:rFonts w:ascii="Times New Roman" w:hAnsi="Times New Roman"/>
    </w:rPr>
  </w:style>
  <w:style w:type="character" w:customStyle="1" w:styleId="28">
    <w:name w:val="正文文本缩进 Char1"/>
    <w:basedOn w:val="22"/>
    <w:semiHidden/>
    <w:qFormat/>
    <w:uiPriority w:val="99"/>
    <w:rPr>
      <w:rFonts w:ascii="Calibri" w:hAnsi="Calibri" w:eastAsia="仿宋" w:cs="Times New Roman"/>
      <w:sz w:val="24"/>
      <w:szCs w:val="20"/>
    </w:rPr>
  </w:style>
  <w:style w:type="character" w:customStyle="1" w:styleId="29">
    <w:name w:val="标题 4 字符"/>
    <w:basedOn w:val="22"/>
    <w:link w:val="7"/>
    <w:qFormat/>
    <w:uiPriority w:val="9"/>
    <w:rPr>
      <w:rFonts w:asciiTheme="majorHAnsi" w:hAnsiTheme="majorHAnsi" w:eastAsiaTheme="majorEastAsia" w:cstheme="majorBidi"/>
      <w:b/>
      <w:bCs/>
      <w:sz w:val="28"/>
      <w:szCs w:val="28"/>
    </w:rPr>
  </w:style>
  <w:style w:type="paragraph" w:styleId="30">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31">
    <w:name w:val="标题 2 字符"/>
    <w:basedOn w:val="22"/>
    <w:link w:val="6"/>
    <w:qFormat/>
    <w:uiPriority w:val="0"/>
    <w:rPr>
      <w:rFonts w:asciiTheme="majorHAnsi" w:hAnsiTheme="majorHAnsi" w:eastAsiaTheme="majorEastAsia" w:cstheme="majorBidi"/>
      <w:b/>
      <w:bCs/>
      <w:sz w:val="32"/>
      <w:szCs w:val="32"/>
    </w:rPr>
  </w:style>
  <w:style w:type="paragraph" w:customStyle="1" w:styleId="32">
    <w:name w:val="默认段落字体 Para Char Char Char Char Char Char Char Char Char1 Char Char Char Char"/>
    <w:basedOn w:val="1"/>
    <w:qFormat/>
    <w:uiPriority w:val="0"/>
    <w:rPr>
      <w:rFonts w:ascii="Tahoma" w:hAnsi="Tahoma"/>
    </w:rPr>
  </w:style>
  <w:style w:type="character" w:customStyle="1" w:styleId="33">
    <w:name w:val="标题 1 字符"/>
    <w:basedOn w:val="22"/>
    <w:link w:val="5"/>
    <w:qFormat/>
    <w:uiPriority w:val="9"/>
    <w:rPr>
      <w:rFonts w:ascii="Calibri" w:hAnsi="Calibri" w:eastAsia="仿宋" w:cs="Times New Roman"/>
      <w:b/>
      <w:bCs/>
      <w:kern w:val="44"/>
      <w:sz w:val="44"/>
      <w:szCs w:val="44"/>
    </w:rPr>
  </w:style>
  <w:style w:type="character" w:customStyle="1" w:styleId="34">
    <w:name w:val="正文文本 3 字符"/>
    <w:basedOn w:val="22"/>
    <w:link w:val="11"/>
    <w:semiHidden/>
    <w:qFormat/>
    <w:uiPriority w:val="99"/>
    <w:rPr>
      <w:rFonts w:ascii="Calibri" w:hAnsi="Calibri" w:eastAsia="仿宋" w:cs="Times New Roman"/>
      <w:sz w:val="16"/>
      <w:szCs w:val="16"/>
    </w:rPr>
  </w:style>
  <w:style w:type="character" w:customStyle="1" w:styleId="35">
    <w:name w:val="纯文本 字符"/>
    <w:link w:val="13"/>
    <w:qFormat/>
    <w:locked/>
    <w:uiPriority w:val="0"/>
    <w:rPr>
      <w:rFonts w:ascii="宋体" w:hAnsi="Courier New" w:eastAsia="宋体" w:cs="Times New Roman"/>
      <w:szCs w:val="20"/>
    </w:rPr>
  </w:style>
  <w:style w:type="character" w:customStyle="1" w:styleId="36">
    <w:name w:val="纯文本 Char"/>
    <w:basedOn w:val="22"/>
    <w:semiHidden/>
    <w:qFormat/>
    <w:uiPriority w:val="99"/>
    <w:rPr>
      <w:rFonts w:ascii="宋体" w:hAnsi="Courier New" w:eastAsia="宋体" w:cs="Courier New"/>
      <w:szCs w:val="21"/>
    </w:rPr>
  </w:style>
  <w:style w:type="paragraph" w:customStyle="1" w:styleId="37">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8">
    <w:name w:val="正文首行缩进 2 Char"/>
    <w:semiHidden/>
    <w:qFormat/>
    <w:uiPriority w:val="99"/>
    <w:rPr>
      <w:rFonts w:ascii="Times New Roman" w:hAnsi="Times New Roman" w:eastAsia="仿宋"/>
      <w:kern w:val="2"/>
      <w:sz w:val="24"/>
    </w:rPr>
  </w:style>
  <w:style w:type="paragraph" w:customStyle="1" w:styleId="39">
    <w:name w:val="默认段落字体 Para Char Char Char Char Char Char Char Char Char Char Char Char Char Char Char Char"/>
    <w:basedOn w:val="1"/>
    <w:qFormat/>
    <w:uiPriority w:val="0"/>
    <w:rPr>
      <w:rFonts w:ascii="Tahoma" w:hAnsi="Tahoma"/>
    </w:rPr>
  </w:style>
  <w:style w:type="character" w:customStyle="1" w:styleId="40">
    <w:name w:val="批注文字 字符"/>
    <w:link w:val="10"/>
    <w:qFormat/>
    <w:uiPriority w:val="99"/>
    <w:rPr>
      <w:rFonts w:ascii="Times New Roman" w:hAnsi="Times New Roman"/>
      <w:szCs w:val="24"/>
    </w:rPr>
  </w:style>
  <w:style w:type="character" w:customStyle="1" w:styleId="41">
    <w:name w:val="批注文字 Char1"/>
    <w:basedOn w:val="22"/>
    <w:semiHidden/>
    <w:qFormat/>
    <w:uiPriority w:val="99"/>
    <w:rPr>
      <w:rFonts w:ascii="Calibri" w:hAnsi="Calibri" w:eastAsia="仿宋" w:cs="Times New Roman"/>
      <w:sz w:val="24"/>
      <w:szCs w:val="20"/>
    </w:rPr>
  </w:style>
  <w:style w:type="paragraph" w:customStyle="1" w:styleId="42">
    <w:name w:val="正文 A"/>
    <w:qFormat/>
    <w:uiPriority w:val="0"/>
    <w:pPr>
      <w:widowControl w:val="0"/>
    </w:pPr>
    <w:rPr>
      <w:rFonts w:ascii="Microsoft JhengHei UI Light" w:hAnsi="Microsoft JhengHei UI Light" w:eastAsia="Microsoft JhengHei UI Light" w:cs="Microsoft JhengHei UI Light"/>
      <w:color w:val="000000"/>
      <w:kern w:val="0"/>
      <w:sz w:val="22"/>
      <w:szCs w:val="22"/>
      <w:u w:color="000000"/>
      <w:lang w:val="en-US" w:eastAsia="zh-CN" w:bidi="ar-SA"/>
    </w:rPr>
  </w:style>
  <w:style w:type="character" w:customStyle="1" w:styleId="43">
    <w:name w:val="批注主题 字符"/>
    <w:basedOn w:val="40"/>
    <w:link w:val="20"/>
    <w:semiHidden/>
    <w:qFormat/>
    <w:uiPriority w:val="99"/>
    <w:rPr>
      <w:rFonts w:ascii="Calibri" w:hAnsi="Calibri" w:eastAsia="仿宋" w:cs="Times New Roman"/>
      <w:b/>
      <w:bCs/>
      <w:sz w:val="24"/>
      <w:szCs w:val="20"/>
    </w:rPr>
  </w:style>
  <w:style w:type="character" w:customStyle="1" w:styleId="44">
    <w:name w:val="批注框文本 字符"/>
    <w:basedOn w:val="22"/>
    <w:link w:val="14"/>
    <w:semiHidden/>
    <w:qFormat/>
    <w:uiPriority w:val="99"/>
    <w:rPr>
      <w:rFonts w:ascii="Calibri" w:hAnsi="Calibri" w:eastAsia="仿宋" w:cs="Times New Roman"/>
      <w:sz w:val="18"/>
      <w:szCs w:val="18"/>
    </w:rPr>
  </w:style>
  <w:style w:type="paragraph" w:styleId="45">
    <w:name w:val="List Paragraph"/>
    <w:basedOn w:val="1"/>
    <w:qFormat/>
    <w:uiPriority w:val="99"/>
    <w:pPr>
      <w:ind w:firstLine="420" w:firstLineChars="200"/>
    </w:pPr>
  </w:style>
  <w:style w:type="character" w:customStyle="1" w:styleId="46">
    <w:name w:val="font01"/>
    <w:basedOn w:val="22"/>
    <w:qFormat/>
    <w:uiPriority w:val="0"/>
    <w:rPr>
      <w:rFonts w:hint="eastAsia" w:ascii="宋体" w:hAnsi="宋体" w:eastAsia="宋体" w:cs="宋体"/>
      <w:color w:val="000000"/>
      <w:sz w:val="24"/>
      <w:szCs w:val="24"/>
      <w:u w:val="none"/>
    </w:rPr>
  </w:style>
  <w:style w:type="character" w:customStyle="1" w:styleId="47">
    <w:name w:val="font61"/>
    <w:basedOn w:val="22"/>
    <w:qFormat/>
    <w:uiPriority w:val="0"/>
    <w:rPr>
      <w:rFonts w:hint="eastAsia" w:ascii="宋体" w:hAnsi="宋体" w:eastAsia="宋体" w:cs="宋体"/>
      <w:color w:val="000000"/>
      <w:sz w:val="22"/>
      <w:szCs w:val="22"/>
      <w:u w:val="none"/>
    </w:rPr>
  </w:style>
  <w:style w:type="character" w:customStyle="1" w:styleId="48">
    <w:name w:val="font71"/>
    <w:basedOn w:val="22"/>
    <w:qFormat/>
    <w:uiPriority w:val="0"/>
    <w:rPr>
      <w:rFonts w:hint="eastAsia" w:ascii="宋体" w:hAnsi="宋体" w:eastAsia="宋体" w:cs="宋体"/>
      <w:color w:val="000000"/>
      <w:sz w:val="22"/>
      <w:szCs w:val="22"/>
      <w:u w:val="none"/>
    </w:rPr>
  </w:style>
  <w:style w:type="character" w:customStyle="1" w:styleId="49">
    <w:name w:val="font91"/>
    <w:basedOn w:val="22"/>
    <w:qFormat/>
    <w:uiPriority w:val="0"/>
    <w:rPr>
      <w:rFonts w:ascii="宋体" w:hAnsi="宋体" w:eastAsia="宋体" w:cs="宋体"/>
      <w:color w:val="000000"/>
      <w:sz w:val="22"/>
      <w:szCs w:val="22"/>
      <w:u w:val="none"/>
    </w:rPr>
  </w:style>
  <w:style w:type="character" w:customStyle="1" w:styleId="50">
    <w:name w:val="font21"/>
    <w:basedOn w:val="22"/>
    <w:qFormat/>
    <w:uiPriority w:val="0"/>
    <w:rPr>
      <w:rFonts w:ascii="Calibri" w:hAnsi="Calibri" w:cs="Calibri"/>
      <w:color w:val="000000"/>
      <w:sz w:val="24"/>
      <w:szCs w:val="24"/>
      <w:u w:val="none"/>
    </w:rPr>
  </w:style>
  <w:style w:type="character" w:customStyle="1" w:styleId="51">
    <w:name w:val="font11"/>
    <w:basedOn w:val="2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Pages>17</Pages>
  <Words>8616</Words>
  <Characters>9709</Characters>
  <Lines>69</Lines>
  <Paragraphs>19</Paragraphs>
  <TotalTime>35</TotalTime>
  <ScaleCrop>false</ScaleCrop>
  <LinksUpToDate>false</LinksUpToDate>
  <CharactersWithSpaces>9913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2023-06-28T07:00:58Z</dcterms:modified>
  <cp:revision>189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DA80F96F35F5414AB4B1E3BE5565E172</vt:lpwstr>
  </property>
</Properties>
</file>