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3CDBC">
      <w:pPr>
        <w:spacing w:line="580" w:lineRule="exact"/>
        <w:rPr>
          <w:rFonts w:ascii="黑体" w:hAnsi="黑体" w:eastAsia="黑体" w:cs="黑体"/>
          <w:b/>
          <w:sz w:val="32"/>
          <w:szCs w:val="32"/>
        </w:rPr>
      </w:pPr>
      <w:r>
        <w:rPr>
          <w:rFonts w:hint="eastAsia" w:ascii="黑体" w:hAnsi="黑体" w:eastAsia="黑体" w:cs="黑体"/>
          <w:b/>
          <w:sz w:val="32"/>
          <w:szCs w:val="32"/>
        </w:rPr>
        <w:t>附件3</w:t>
      </w:r>
    </w:p>
    <w:p w14:paraId="6CBA212C">
      <w:pPr>
        <w:widowControl/>
        <w:spacing w:line="360" w:lineRule="exact"/>
        <w:jc w:val="center"/>
        <w:rPr>
          <w:rFonts w:ascii="方正小标宋简体" w:hAnsi="方正小标宋简体" w:eastAsia="方正小标宋简体" w:cs="方正小标宋简体"/>
          <w:color w:val="000000"/>
          <w:kern w:val="0"/>
          <w:sz w:val="28"/>
          <w:szCs w:val="28"/>
          <w:lang w:bidi="ar"/>
        </w:rPr>
      </w:pPr>
    </w:p>
    <w:p w14:paraId="33DCECD5">
      <w:pPr>
        <w:widowControl/>
        <w:spacing w:line="360" w:lineRule="exact"/>
        <w:jc w:val="center"/>
        <w:rPr>
          <w:rFonts w:ascii="方正小标宋简体" w:hAnsi="方正小标宋简体" w:eastAsia="方正小标宋简体" w:cs="方正小标宋简体"/>
          <w:color w:val="000000"/>
          <w:kern w:val="0"/>
          <w:sz w:val="28"/>
          <w:szCs w:val="28"/>
          <w:lang w:bidi="ar"/>
        </w:rPr>
      </w:pPr>
      <w:bookmarkStart w:id="0" w:name="OLE_LINK3"/>
      <w:bookmarkStart w:id="1" w:name="OLE_LINK4"/>
      <w:r>
        <w:rPr>
          <w:rFonts w:hint="eastAsia" w:ascii="方正小标宋简体" w:hAnsi="方正小标宋简体" w:eastAsia="方正小标宋简体" w:cs="方正小标宋简体"/>
          <w:color w:val="000000"/>
          <w:kern w:val="0"/>
          <w:sz w:val="28"/>
          <w:szCs w:val="28"/>
          <w:lang w:bidi="ar"/>
        </w:rPr>
        <w:t>山东第一医科大学（山东省医学科学院）</w:t>
      </w:r>
    </w:p>
    <w:p w14:paraId="560D6990">
      <w:pPr>
        <w:widowControl/>
        <w:spacing w:line="360" w:lineRule="exact"/>
        <w:jc w:val="center"/>
        <w:rPr>
          <w:rFonts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color w:val="000000"/>
          <w:kern w:val="0"/>
          <w:sz w:val="28"/>
          <w:szCs w:val="28"/>
          <w:lang w:bidi="ar"/>
        </w:rPr>
        <w:t>小额零星采购合同（货物类模板）</w:t>
      </w:r>
    </w:p>
    <w:bookmarkEnd w:id="0"/>
    <w:bookmarkEnd w:id="1"/>
    <w:p w14:paraId="536DEFC2">
      <w:pPr>
        <w:widowControl/>
        <w:ind w:firstLine="480" w:firstLineChars="200"/>
        <w:jc w:val="left"/>
        <w:rPr>
          <w:rFonts w:ascii="仿宋_GB2312" w:hAnsi="仿宋_GB2312" w:eastAsia="仿宋_GB2312" w:cs="仿宋_GB2312"/>
          <w:color w:val="000000"/>
          <w:kern w:val="0"/>
          <w:sz w:val="24"/>
          <w:lang w:bidi="ar"/>
        </w:rPr>
      </w:pPr>
    </w:p>
    <w:p w14:paraId="5035398E">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合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 xml:space="preserve">同 编 号： </w:t>
      </w:r>
    </w:p>
    <w:p w14:paraId="08D83C0C">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采购计划编号： </w:t>
      </w:r>
    </w:p>
    <w:p w14:paraId="03D6C231">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项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 xml:space="preserve">目 名 称： </w:t>
      </w:r>
    </w:p>
    <w:p w14:paraId="313CFD8C">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甲方（采购人）：</w:t>
      </w:r>
    </w:p>
    <w:p w14:paraId="09EC7AE8">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乙方（供应商）： </w:t>
      </w:r>
    </w:p>
    <w:p w14:paraId="10A9C722">
      <w:pPr>
        <w:widowControl/>
        <w:spacing w:line="400" w:lineRule="exact"/>
        <w:ind w:firstLine="480" w:firstLineChars="200"/>
        <w:jc w:val="left"/>
        <w:rPr>
          <w:rFonts w:ascii="仿宋_GB2312" w:hAnsi="仿宋_GB2312" w:eastAsia="仿宋_GB2312" w:cs="仿宋_GB2312"/>
          <w:color w:val="000000"/>
          <w:kern w:val="0"/>
          <w:sz w:val="24"/>
          <w:lang w:bidi="ar"/>
        </w:rPr>
      </w:pPr>
    </w:p>
    <w:p w14:paraId="4E24C131">
      <w:pPr>
        <w:widowControl/>
        <w:spacing w:line="400" w:lineRule="exact"/>
        <w:ind w:left="239" w:leftChars="114"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（甲方）所需</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（项目名称）以</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方式进行采购。经甲方确定</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（乙方）为成交供应商。甲、乙双方根据《中华人民共和国民法典》《中华人民共和国产品质量法》等相关法律法规的规定，经平等协商达成如下协议：</w:t>
      </w:r>
    </w:p>
    <w:p w14:paraId="65FC61B6">
      <w:pPr>
        <w:widowControl/>
        <w:numPr>
          <w:ilvl w:val="0"/>
          <w:numId w:val="1"/>
        </w:numPr>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货物数量及规格</w:t>
      </w:r>
    </w:p>
    <w:p w14:paraId="7BDA3E91">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乙方向甲方提供以下货物</w:t>
      </w:r>
    </w:p>
    <w:tbl>
      <w:tblPr>
        <w:tblStyle w:val="9"/>
        <w:tblW w:w="8107" w:type="dxa"/>
        <w:tblInd w:w="1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2"/>
        <w:gridCol w:w="3214"/>
        <w:gridCol w:w="969"/>
        <w:gridCol w:w="986"/>
        <w:gridCol w:w="1146"/>
      </w:tblGrid>
      <w:tr w14:paraId="4CF24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792" w:type="dxa"/>
          </w:tcPr>
          <w:p w14:paraId="5D4B96C9">
            <w:pPr>
              <w:pStyle w:val="8"/>
              <w:spacing w:before="86" w:line="360" w:lineRule="exact"/>
              <w:ind w:left="117"/>
              <w:jc w:val="center"/>
              <w:rPr>
                <w:rFonts w:ascii="仿宋_GB2312" w:hAnsi="仿宋_GB2312" w:eastAsia="仿宋_GB2312" w:cs="仿宋_GB2312"/>
                <w:color w:val="000000"/>
                <w:kern w:val="0"/>
                <w:sz w:val="24"/>
                <w:szCs w:val="24"/>
                <w:lang w:eastAsia="zh-CN" w:bidi="ar"/>
              </w:rPr>
            </w:pPr>
            <w:r>
              <w:rPr>
                <w:rFonts w:hint="eastAsia" w:ascii="仿宋_GB2312" w:hAnsi="仿宋_GB2312" w:eastAsia="仿宋_GB2312" w:cs="仿宋_GB2312"/>
                <w:color w:val="000000"/>
                <w:kern w:val="0"/>
                <w:sz w:val="24"/>
                <w:szCs w:val="24"/>
                <w:lang w:eastAsia="zh-CN" w:bidi="ar"/>
              </w:rPr>
              <w:t>货物名称</w:t>
            </w:r>
          </w:p>
        </w:tc>
        <w:tc>
          <w:tcPr>
            <w:tcW w:w="3214" w:type="dxa"/>
          </w:tcPr>
          <w:p w14:paraId="6D50BEE3">
            <w:pPr>
              <w:pStyle w:val="8"/>
              <w:spacing w:before="86" w:line="360" w:lineRule="exact"/>
              <w:ind w:left="120"/>
              <w:rPr>
                <w:rFonts w:ascii="仿宋_GB2312" w:hAnsi="仿宋_GB2312" w:eastAsia="仿宋_GB2312" w:cs="仿宋_GB2312"/>
                <w:color w:val="000000"/>
                <w:kern w:val="0"/>
                <w:sz w:val="24"/>
                <w:szCs w:val="24"/>
                <w:lang w:eastAsia="zh-CN" w:bidi="ar"/>
              </w:rPr>
            </w:pPr>
            <w:r>
              <w:rPr>
                <w:rFonts w:hint="eastAsia" w:ascii="仿宋_GB2312" w:hAnsi="仿宋_GB2312" w:eastAsia="仿宋_GB2312" w:cs="仿宋_GB2312"/>
                <w:color w:val="000000"/>
                <w:kern w:val="0"/>
                <w:sz w:val="24"/>
                <w:szCs w:val="24"/>
                <w:lang w:eastAsia="zh-CN" w:bidi="ar"/>
              </w:rPr>
              <w:t>品牌、规格型号（技术参数）</w:t>
            </w:r>
          </w:p>
        </w:tc>
        <w:tc>
          <w:tcPr>
            <w:tcW w:w="969" w:type="dxa"/>
          </w:tcPr>
          <w:p w14:paraId="65F41E7B">
            <w:pPr>
              <w:pStyle w:val="8"/>
              <w:spacing w:before="85" w:line="360" w:lineRule="exact"/>
              <w:ind w:left="110"/>
              <w:jc w:val="center"/>
              <w:rPr>
                <w:rFonts w:ascii="仿宋_GB2312" w:hAnsi="仿宋_GB2312" w:eastAsia="仿宋_GB2312" w:cs="仿宋_GB2312"/>
                <w:color w:val="000000"/>
                <w:kern w:val="0"/>
                <w:sz w:val="24"/>
                <w:szCs w:val="24"/>
                <w:lang w:eastAsia="zh-CN" w:bidi="ar"/>
              </w:rPr>
            </w:pPr>
            <w:r>
              <w:rPr>
                <w:rFonts w:hint="eastAsia" w:ascii="仿宋_GB2312" w:hAnsi="仿宋_GB2312" w:eastAsia="仿宋_GB2312" w:cs="仿宋_GB2312"/>
                <w:color w:val="000000"/>
                <w:kern w:val="0"/>
                <w:sz w:val="24"/>
                <w:szCs w:val="24"/>
                <w:lang w:eastAsia="zh-CN" w:bidi="ar"/>
              </w:rPr>
              <w:t>单价</w:t>
            </w:r>
          </w:p>
        </w:tc>
        <w:tc>
          <w:tcPr>
            <w:tcW w:w="986" w:type="dxa"/>
          </w:tcPr>
          <w:p w14:paraId="7EAAF236">
            <w:pPr>
              <w:pStyle w:val="8"/>
              <w:spacing w:before="86" w:line="360" w:lineRule="exact"/>
              <w:ind w:left="113"/>
              <w:jc w:val="center"/>
              <w:rPr>
                <w:rFonts w:ascii="仿宋_GB2312" w:hAnsi="仿宋_GB2312" w:eastAsia="仿宋_GB2312" w:cs="仿宋_GB2312"/>
                <w:color w:val="000000"/>
                <w:kern w:val="0"/>
                <w:sz w:val="24"/>
                <w:szCs w:val="24"/>
                <w:lang w:eastAsia="zh-CN" w:bidi="ar"/>
              </w:rPr>
            </w:pPr>
            <w:r>
              <w:rPr>
                <w:rFonts w:hint="eastAsia" w:ascii="仿宋_GB2312" w:hAnsi="仿宋_GB2312" w:eastAsia="仿宋_GB2312" w:cs="仿宋_GB2312"/>
                <w:color w:val="000000"/>
                <w:kern w:val="0"/>
                <w:sz w:val="24"/>
                <w:szCs w:val="24"/>
                <w:lang w:eastAsia="zh-CN" w:bidi="ar"/>
              </w:rPr>
              <w:t>数量</w:t>
            </w:r>
          </w:p>
        </w:tc>
        <w:tc>
          <w:tcPr>
            <w:tcW w:w="1146" w:type="dxa"/>
          </w:tcPr>
          <w:p w14:paraId="03561E93">
            <w:pPr>
              <w:pStyle w:val="8"/>
              <w:spacing w:before="86" w:line="360" w:lineRule="exact"/>
              <w:ind w:left="114"/>
              <w:jc w:val="center"/>
              <w:rPr>
                <w:rFonts w:ascii="仿宋_GB2312" w:hAnsi="仿宋_GB2312" w:eastAsia="仿宋_GB2312" w:cs="仿宋_GB2312"/>
                <w:color w:val="000000"/>
                <w:kern w:val="0"/>
                <w:sz w:val="24"/>
                <w:szCs w:val="24"/>
                <w:lang w:eastAsia="zh-CN" w:bidi="ar"/>
              </w:rPr>
            </w:pPr>
            <w:r>
              <w:rPr>
                <w:rFonts w:hint="eastAsia" w:ascii="仿宋_GB2312" w:hAnsi="仿宋_GB2312" w:eastAsia="仿宋_GB2312" w:cs="仿宋_GB2312"/>
                <w:color w:val="000000"/>
                <w:kern w:val="0"/>
                <w:sz w:val="24"/>
                <w:szCs w:val="24"/>
                <w:lang w:eastAsia="zh-CN" w:bidi="ar"/>
              </w:rPr>
              <w:t>小计</w:t>
            </w:r>
          </w:p>
        </w:tc>
      </w:tr>
      <w:tr w14:paraId="6D808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792" w:type="dxa"/>
          </w:tcPr>
          <w:p w14:paraId="6362AAD4">
            <w:pPr>
              <w:spacing w:line="360" w:lineRule="exact"/>
              <w:rPr>
                <w:rFonts w:ascii="Arial" w:hAnsi="Times New Roman" w:eastAsia="宋体" w:cs="Times New Roman"/>
                <w:kern w:val="0"/>
                <w:sz w:val="20"/>
              </w:rPr>
            </w:pPr>
          </w:p>
        </w:tc>
        <w:tc>
          <w:tcPr>
            <w:tcW w:w="3214" w:type="dxa"/>
          </w:tcPr>
          <w:p w14:paraId="2C6C5964">
            <w:pPr>
              <w:spacing w:line="360" w:lineRule="exact"/>
              <w:rPr>
                <w:rFonts w:ascii="Arial" w:hAnsi="Times New Roman" w:eastAsia="宋体" w:cs="Times New Roman"/>
                <w:kern w:val="0"/>
                <w:sz w:val="20"/>
              </w:rPr>
            </w:pPr>
          </w:p>
        </w:tc>
        <w:tc>
          <w:tcPr>
            <w:tcW w:w="969" w:type="dxa"/>
          </w:tcPr>
          <w:p w14:paraId="7B00418B">
            <w:pPr>
              <w:spacing w:line="360" w:lineRule="exact"/>
              <w:rPr>
                <w:rFonts w:ascii="Arial" w:hAnsi="Times New Roman" w:eastAsia="宋体" w:cs="Times New Roman"/>
                <w:kern w:val="0"/>
                <w:sz w:val="20"/>
              </w:rPr>
            </w:pPr>
          </w:p>
        </w:tc>
        <w:tc>
          <w:tcPr>
            <w:tcW w:w="986" w:type="dxa"/>
          </w:tcPr>
          <w:p w14:paraId="6D240E9D">
            <w:pPr>
              <w:spacing w:line="360" w:lineRule="exact"/>
              <w:rPr>
                <w:rFonts w:ascii="Arial" w:hAnsi="Times New Roman" w:eastAsia="宋体" w:cs="Times New Roman"/>
                <w:kern w:val="0"/>
                <w:sz w:val="20"/>
              </w:rPr>
            </w:pPr>
          </w:p>
        </w:tc>
        <w:tc>
          <w:tcPr>
            <w:tcW w:w="1146" w:type="dxa"/>
          </w:tcPr>
          <w:p w14:paraId="1A3C9A26">
            <w:pPr>
              <w:spacing w:line="360" w:lineRule="exact"/>
              <w:rPr>
                <w:rFonts w:ascii="Arial" w:hAnsi="Times New Roman" w:eastAsia="宋体" w:cs="Times New Roman"/>
                <w:kern w:val="0"/>
                <w:sz w:val="20"/>
              </w:rPr>
            </w:pPr>
          </w:p>
        </w:tc>
      </w:tr>
      <w:tr w14:paraId="46503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792" w:type="dxa"/>
            <w:tcBorders>
              <w:bottom w:val="single" w:color="auto" w:sz="4" w:space="0"/>
            </w:tcBorders>
          </w:tcPr>
          <w:p w14:paraId="4F75A238">
            <w:pPr>
              <w:spacing w:line="360" w:lineRule="exact"/>
              <w:rPr>
                <w:rFonts w:ascii="Arial" w:hAnsi="Times New Roman" w:eastAsia="宋体" w:cs="Times New Roman"/>
                <w:kern w:val="0"/>
                <w:sz w:val="20"/>
              </w:rPr>
            </w:pPr>
          </w:p>
        </w:tc>
        <w:tc>
          <w:tcPr>
            <w:tcW w:w="3214" w:type="dxa"/>
          </w:tcPr>
          <w:p w14:paraId="5A0CCE2E">
            <w:pPr>
              <w:spacing w:line="360" w:lineRule="exact"/>
              <w:rPr>
                <w:rFonts w:ascii="Arial" w:hAnsi="Times New Roman" w:eastAsia="宋体" w:cs="Times New Roman"/>
                <w:kern w:val="0"/>
                <w:sz w:val="20"/>
              </w:rPr>
            </w:pPr>
          </w:p>
        </w:tc>
        <w:tc>
          <w:tcPr>
            <w:tcW w:w="969" w:type="dxa"/>
          </w:tcPr>
          <w:p w14:paraId="5441CC0F">
            <w:pPr>
              <w:spacing w:line="360" w:lineRule="exact"/>
              <w:rPr>
                <w:rFonts w:ascii="Arial" w:hAnsi="Times New Roman" w:eastAsia="宋体" w:cs="Times New Roman"/>
                <w:kern w:val="0"/>
                <w:sz w:val="20"/>
              </w:rPr>
            </w:pPr>
          </w:p>
        </w:tc>
        <w:tc>
          <w:tcPr>
            <w:tcW w:w="986" w:type="dxa"/>
          </w:tcPr>
          <w:p w14:paraId="71B725DA">
            <w:pPr>
              <w:spacing w:line="360" w:lineRule="exact"/>
              <w:rPr>
                <w:rFonts w:ascii="Arial" w:hAnsi="Times New Roman" w:eastAsia="宋体" w:cs="Times New Roman"/>
                <w:kern w:val="0"/>
                <w:sz w:val="20"/>
              </w:rPr>
            </w:pPr>
          </w:p>
        </w:tc>
        <w:tc>
          <w:tcPr>
            <w:tcW w:w="1146" w:type="dxa"/>
          </w:tcPr>
          <w:p w14:paraId="5766D010">
            <w:pPr>
              <w:spacing w:line="360" w:lineRule="exact"/>
              <w:rPr>
                <w:rFonts w:ascii="Arial" w:hAnsi="Times New Roman" w:eastAsia="宋体" w:cs="Times New Roman"/>
                <w:kern w:val="0"/>
                <w:sz w:val="20"/>
              </w:rPr>
            </w:pPr>
          </w:p>
        </w:tc>
      </w:tr>
      <w:tr w14:paraId="396C2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792" w:type="dxa"/>
            <w:tcBorders>
              <w:top w:val="single" w:color="auto" w:sz="4" w:space="0"/>
              <w:left w:val="single" w:color="auto" w:sz="4" w:space="0"/>
              <w:bottom w:val="single" w:color="auto" w:sz="4" w:space="0"/>
              <w:right w:val="single" w:color="auto" w:sz="4" w:space="0"/>
            </w:tcBorders>
          </w:tcPr>
          <w:p w14:paraId="791BB8F3">
            <w:pPr>
              <w:pStyle w:val="8"/>
              <w:spacing w:before="147" w:line="360" w:lineRule="exact"/>
              <w:ind w:left="123"/>
              <w:rPr>
                <w:kern w:val="0"/>
                <w:sz w:val="15"/>
                <w:szCs w:val="15"/>
              </w:rPr>
            </w:pPr>
            <w:r>
              <w:rPr>
                <w:spacing w:val="-4"/>
                <w:kern w:val="0"/>
                <w:position w:val="-2"/>
                <w:sz w:val="15"/>
                <w:szCs w:val="15"/>
              </w:rPr>
              <w:t>……</w:t>
            </w:r>
          </w:p>
        </w:tc>
        <w:tc>
          <w:tcPr>
            <w:tcW w:w="3214" w:type="dxa"/>
            <w:tcBorders>
              <w:left w:val="single" w:color="auto" w:sz="4" w:space="0"/>
            </w:tcBorders>
          </w:tcPr>
          <w:p w14:paraId="07EAC327">
            <w:pPr>
              <w:spacing w:line="360" w:lineRule="exact"/>
              <w:rPr>
                <w:rFonts w:ascii="Arial" w:hAnsi="Times New Roman" w:eastAsia="宋体" w:cs="Times New Roman"/>
                <w:kern w:val="0"/>
                <w:sz w:val="20"/>
              </w:rPr>
            </w:pPr>
          </w:p>
        </w:tc>
        <w:tc>
          <w:tcPr>
            <w:tcW w:w="969" w:type="dxa"/>
            <w:tcBorders>
              <w:bottom w:val="single" w:color="auto" w:sz="4" w:space="0"/>
            </w:tcBorders>
          </w:tcPr>
          <w:p w14:paraId="307013AB">
            <w:pPr>
              <w:spacing w:line="360" w:lineRule="exact"/>
              <w:rPr>
                <w:rFonts w:ascii="Arial" w:hAnsi="Times New Roman" w:eastAsia="宋体" w:cs="Times New Roman"/>
                <w:kern w:val="0"/>
                <w:sz w:val="20"/>
              </w:rPr>
            </w:pPr>
          </w:p>
        </w:tc>
        <w:tc>
          <w:tcPr>
            <w:tcW w:w="986" w:type="dxa"/>
            <w:tcBorders>
              <w:bottom w:val="single" w:color="auto" w:sz="4" w:space="0"/>
            </w:tcBorders>
          </w:tcPr>
          <w:p w14:paraId="7A68549E">
            <w:pPr>
              <w:spacing w:line="360" w:lineRule="exact"/>
              <w:rPr>
                <w:rFonts w:ascii="Arial" w:hAnsi="Times New Roman" w:eastAsia="宋体" w:cs="Times New Roman"/>
                <w:kern w:val="0"/>
                <w:sz w:val="20"/>
              </w:rPr>
            </w:pPr>
          </w:p>
        </w:tc>
        <w:tc>
          <w:tcPr>
            <w:tcW w:w="1146" w:type="dxa"/>
            <w:tcBorders>
              <w:bottom w:val="single" w:color="auto" w:sz="4" w:space="0"/>
            </w:tcBorders>
          </w:tcPr>
          <w:p w14:paraId="1B12EE64">
            <w:pPr>
              <w:spacing w:line="360" w:lineRule="exact"/>
              <w:rPr>
                <w:rFonts w:ascii="Arial" w:hAnsi="Times New Roman" w:eastAsia="宋体" w:cs="Times New Roman"/>
                <w:kern w:val="0"/>
                <w:sz w:val="20"/>
              </w:rPr>
            </w:pPr>
          </w:p>
        </w:tc>
      </w:tr>
      <w:tr w14:paraId="42D81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792" w:type="dxa"/>
            <w:tcBorders>
              <w:top w:val="single" w:color="auto" w:sz="4" w:space="0"/>
              <w:left w:val="single" w:color="auto" w:sz="4" w:space="0"/>
              <w:bottom w:val="single" w:color="auto" w:sz="4" w:space="0"/>
              <w:right w:val="single" w:color="auto" w:sz="4" w:space="0"/>
            </w:tcBorders>
          </w:tcPr>
          <w:p w14:paraId="15CF51ED">
            <w:pPr>
              <w:pStyle w:val="8"/>
              <w:spacing w:before="85" w:line="360" w:lineRule="exact"/>
              <w:ind w:left="414"/>
              <w:rPr>
                <w:kern w:val="0"/>
                <w:sz w:val="15"/>
                <w:szCs w:val="15"/>
              </w:rPr>
            </w:pPr>
            <w:r>
              <w:rPr>
                <w:rFonts w:hint="eastAsia" w:ascii="仿宋_GB2312" w:hAnsi="仿宋_GB2312" w:eastAsia="仿宋_GB2312" w:cs="仿宋_GB2312"/>
                <w:color w:val="000000"/>
                <w:kern w:val="0"/>
                <w:sz w:val="24"/>
                <w:szCs w:val="24"/>
                <w:lang w:eastAsia="zh-CN" w:bidi="ar"/>
              </w:rPr>
              <w:t>合     计</w:t>
            </w:r>
          </w:p>
        </w:tc>
        <w:tc>
          <w:tcPr>
            <w:tcW w:w="3214" w:type="dxa"/>
            <w:tcBorders>
              <w:left w:val="single" w:color="auto" w:sz="4" w:space="0"/>
              <w:right w:val="single" w:color="auto" w:sz="4" w:space="0"/>
            </w:tcBorders>
          </w:tcPr>
          <w:p w14:paraId="7CF9F9AB">
            <w:pPr>
              <w:pStyle w:val="8"/>
              <w:spacing w:before="86" w:line="360" w:lineRule="exact"/>
              <w:ind w:left="120"/>
              <w:jc w:val="center"/>
              <w:rPr>
                <w:rFonts w:ascii="Arial"/>
                <w:kern w:val="0"/>
                <w:sz w:val="21"/>
              </w:rPr>
            </w:pPr>
          </w:p>
        </w:tc>
        <w:tc>
          <w:tcPr>
            <w:tcW w:w="969" w:type="dxa"/>
            <w:tcBorders>
              <w:left w:val="single" w:color="auto" w:sz="4" w:space="0"/>
              <w:right w:val="single" w:color="auto" w:sz="4" w:space="0"/>
            </w:tcBorders>
          </w:tcPr>
          <w:p w14:paraId="2B32FFA3">
            <w:pPr>
              <w:pStyle w:val="8"/>
              <w:spacing w:before="86" w:line="360" w:lineRule="exact"/>
              <w:ind w:left="120"/>
              <w:jc w:val="center"/>
              <w:rPr>
                <w:rFonts w:ascii="仿宋_GB2312" w:hAnsi="仿宋_GB2312" w:eastAsia="仿宋_GB2312" w:cs="仿宋_GB2312"/>
                <w:color w:val="000000"/>
                <w:kern w:val="0"/>
                <w:sz w:val="24"/>
                <w:szCs w:val="24"/>
                <w:lang w:eastAsia="zh-CN" w:bidi="ar"/>
              </w:rPr>
            </w:pPr>
          </w:p>
        </w:tc>
        <w:tc>
          <w:tcPr>
            <w:tcW w:w="986" w:type="dxa"/>
            <w:tcBorders>
              <w:top w:val="single" w:color="auto" w:sz="4" w:space="0"/>
              <w:left w:val="single" w:color="auto" w:sz="4" w:space="0"/>
              <w:bottom w:val="single" w:color="auto" w:sz="4" w:space="0"/>
              <w:right w:val="single" w:color="auto" w:sz="4" w:space="0"/>
            </w:tcBorders>
          </w:tcPr>
          <w:p w14:paraId="31165251">
            <w:pPr>
              <w:spacing w:line="360" w:lineRule="exact"/>
              <w:rPr>
                <w:rFonts w:ascii="Arial" w:hAnsi="Times New Roman" w:eastAsia="宋体" w:cs="Times New Roman"/>
                <w:kern w:val="0"/>
                <w:sz w:val="20"/>
              </w:rPr>
            </w:pPr>
          </w:p>
        </w:tc>
        <w:tc>
          <w:tcPr>
            <w:tcW w:w="1146" w:type="dxa"/>
            <w:tcBorders>
              <w:top w:val="single" w:color="auto" w:sz="4" w:space="0"/>
              <w:left w:val="single" w:color="auto" w:sz="4" w:space="0"/>
              <w:bottom w:val="single" w:color="auto" w:sz="4" w:space="0"/>
              <w:right w:val="single" w:color="auto" w:sz="4" w:space="0"/>
            </w:tcBorders>
          </w:tcPr>
          <w:p w14:paraId="56D4A1D1">
            <w:pPr>
              <w:spacing w:line="360" w:lineRule="exact"/>
              <w:rPr>
                <w:rFonts w:ascii="Arial" w:hAnsi="Times New Roman" w:eastAsia="宋体" w:cs="Times New Roman"/>
                <w:kern w:val="0"/>
                <w:sz w:val="20"/>
              </w:rPr>
            </w:pPr>
          </w:p>
        </w:tc>
      </w:tr>
    </w:tbl>
    <w:p w14:paraId="1B55146F">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二、合同金额</w:t>
      </w:r>
    </w:p>
    <w:p w14:paraId="5E77190F">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1.根据合同文件要求，合同金额为人民币</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元，大写：</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 xml:space="preserve">。（分项价格详见合同货物清单）。此合同为固定价格合同，标的物单价、总价不予调整，包括了货物和与之配套的正版软件、设计、制造、加工、包装、检测、运输、装卸、保险、税费、安装、验收、培训、技术服务、质保期服务等全部价款，除此之外，甲方不再向乙方支付其他任何费用。 </w:t>
      </w:r>
    </w:p>
    <w:p w14:paraId="705F723A">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 xml:space="preserve">2.乙方账户信息 </w:t>
      </w:r>
    </w:p>
    <w:p w14:paraId="7F516043">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 xml:space="preserve">开户名称： </w:t>
      </w:r>
    </w:p>
    <w:p w14:paraId="079ED8B2">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 xml:space="preserve">开户银行： </w:t>
      </w:r>
    </w:p>
    <w:p w14:paraId="4717AED7">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 xml:space="preserve">账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号： </w:t>
      </w:r>
    </w:p>
    <w:p w14:paraId="116D109A">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三、资金来源</w:t>
      </w:r>
    </w:p>
    <w:p w14:paraId="114F7BE8">
      <w:pPr>
        <w:widowControl/>
        <w:spacing w:line="40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财政资金：</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元；自筹资金：</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元；财务报销经费号：</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。如因财政资金不到位而导致进度款或结算款迟延，甲方不承担逾期付款违约责任。</w:t>
      </w:r>
    </w:p>
    <w:p w14:paraId="05175838">
      <w:pPr>
        <w:widowControl/>
        <w:spacing w:line="400" w:lineRule="exact"/>
        <w:ind w:firstLine="480" w:firstLineChars="200"/>
        <w:jc w:val="left"/>
        <w:rPr>
          <w:rFonts w:hint="eastAsia" w:ascii="黑体" w:hAnsi="黑体" w:eastAsia="黑体" w:cs="仿宋_GB2312"/>
          <w:color w:val="000000"/>
          <w:kern w:val="0"/>
          <w:sz w:val="24"/>
          <w:lang w:eastAsia="zh-CN" w:bidi="ar"/>
        </w:rPr>
      </w:pPr>
      <w:bookmarkStart w:id="2" w:name="_GoBack"/>
      <w:r>
        <w:rPr>
          <w:rFonts w:hint="eastAsia" w:ascii="黑体" w:hAnsi="黑体" w:eastAsia="黑体" w:cs="仿宋_GB2312"/>
          <w:color w:val="000000"/>
          <w:kern w:val="0"/>
          <w:sz w:val="24"/>
          <w:lang w:bidi="ar"/>
        </w:rPr>
        <w:t xml:space="preserve">四、付款方式 </w:t>
      </w:r>
      <w:r>
        <w:rPr>
          <w:rFonts w:hint="eastAsia" w:ascii="黑体" w:hAnsi="黑体" w:eastAsia="黑体" w:cs="仿宋_GB2312"/>
          <w:color w:val="000000"/>
          <w:kern w:val="0"/>
          <w:sz w:val="24"/>
          <w:lang w:eastAsia="zh-CN" w:bidi="ar"/>
        </w:rPr>
        <w:t>（</w:t>
      </w:r>
      <w:r>
        <w:rPr>
          <w:rFonts w:hint="eastAsia" w:ascii="黑体" w:hAnsi="黑体" w:eastAsia="黑体" w:cs="仿宋_GB2312"/>
          <w:color w:val="000000"/>
          <w:kern w:val="0"/>
          <w:sz w:val="24"/>
          <w:lang w:val="en-US" w:eastAsia="zh-CN" w:bidi="ar"/>
        </w:rPr>
        <w:t>任选其一</w:t>
      </w:r>
      <w:r>
        <w:rPr>
          <w:rFonts w:hint="eastAsia" w:ascii="黑体" w:hAnsi="黑体" w:eastAsia="黑体" w:cs="仿宋_GB2312"/>
          <w:color w:val="000000"/>
          <w:kern w:val="0"/>
          <w:sz w:val="24"/>
          <w:lang w:eastAsia="zh-CN" w:bidi="ar"/>
        </w:rPr>
        <w:t>）</w:t>
      </w:r>
    </w:p>
    <w:p w14:paraId="18424852">
      <w:pPr>
        <w:widowControl/>
        <w:spacing w:line="400" w:lineRule="exact"/>
        <w:ind w:firstLine="480" w:firstLineChars="200"/>
        <w:jc w:val="left"/>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lang w:val="en-US" w:eastAsia="zh-CN" w:bidi="ar"/>
        </w:rPr>
        <w:sym w:font="Wingdings 2" w:char="00A3"/>
      </w:r>
      <w:r>
        <w:rPr>
          <w:rFonts w:hint="eastAsia" w:ascii="仿宋_GB2312" w:hAnsi="仿宋_GB2312" w:eastAsia="仿宋_GB2312" w:cs="仿宋_GB2312"/>
          <w:color w:val="000000"/>
          <w:kern w:val="0"/>
          <w:sz w:val="24"/>
          <w:lang w:val="en-US" w:eastAsia="zh-CN" w:bidi="ar"/>
        </w:rPr>
        <w:t>1.</w:t>
      </w:r>
      <w:r>
        <w:rPr>
          <w:rFonts w:ascii="仿宋_GB2312" w:hAnsi="仿宋_GB2312" w:eastAsia="仿宋_GB2312" w:cs="仿宋_GB2312"/>
          <w:color w:val="000000"/>
          <w:kern w:val="0"/>
          <w:sz w:val="24"/>
          <w:lang w:bidi="ar"/>
        </w:rPr>
        <w:t>一次性支付方式</w:t>
      </w:r>
      <w:r>
        <w:rPr>
          <w:rFonts w:hint="eastAsia" w:ascii="仿宋_GB2312" w:hAnsi="仿宋_GB2312" w:eastAsia="仿宋_GB2312" w:cs="仿宋_GB2312"/>
          <w:color w:val="000000"/>
          <w:kern w:val="0"/>
          <w:sz w:val="24"/>
          <w:lang w:eastAsia="zh-CN" w:bidi="ar"/>
        </w:rPr>
        <w:t>；</w:t>
      </w:r>
      <w:r>
        <w:rPr>
          <w:rFonts w:hint="eastAsia" w:ascii="仿宋_GB2312" w:hAnsi="仿宋_GB2312" w:eastAsia="仿宋_GB2312" w:cs="仿宋_GB2312"/>
          <w:color w:val="000000"/>
          <w:kern w:val="0"/>
          <w:sz w:val="24"/>
          <w:highlight w:val="none"/>
          <w:lang w:val="en-US" w:eastAsia="zh-CN" w:bidi="ar"/>
        </w:rPr>
        <w:sym w:font="Wingdings 2" w:char="00A3"/>
      </w:r>
      <w:r>
        <w:rPr>
          <w:rFonts w:hint="eastAsia" w:ascii="仿宋_GB2312" w:hAnsi="仿宋_GB2312" w:eastAsia="仿宋_GB2312" w:cs="仿宋_GB2312"/>
          <w:color w:val="000000"/>
          <w:kern w:val="0"/>
          <w:sz w:val="24"/>
          <w:highlight w:val="none"/>
          <w:lang w:val="en-US" w:eastAsia="zh-CN" w:bidi="ar"/>
        </w:rPr>
        <w:t>2.分</w:t>
      </w:r>
      <w:r>
        <w:rPr>
          <w:rFonts w:hint="eastAsia" w:ascii="仿宋_GB2312" w:hAnsi="仿宋_GB2312" w:eastAsia="仿宋_GB2312" w:cs="仿宋_GB2312"/>
          <w:color w:val="000000"/>
          <w:kern w:val="0"/>
          <w:sz w:val="24"/>
          <w:highlight w:val="none"/>
          <w:u w:val="single"/>
          <w:lang w:val="en-US" w:eastAsia="zh-CN" w:bidi="ar"/>
        </w:rPr>
        <w:t xml:space="preserve">  </w:t>
      </w:r>
      <w:r>
        <w:rPr>
          <w:rFonts w:hint="eastAsia" w:ascii="仿宋_GB2312" w:hAnsi="仿宋_GB2312" w:eastAsia="仿宋_GB2312" w:cs="仿宋_GB2312"/>
          <w:color w:val="000000"/>
          <w:kern w:val="0"/>
          <w:sz w:val="24"/>
          <w:highlight w:val="none"/>
          <w:lang w:val="en-US" w:eastAsia="zh-CN" w:bidi="ar"/>
        </w:rPr>
        <w:t>次供货，分</w:t>
      </w:r>
      <w:r>
        <w:rPr>
          <w:rFonts w:hint="eastAsia" w:ascii="仿宋_GB2312" w:hAnsi="仿宋_GB2312" w:eastAsia="仿宋_GB2312" w:cs="仿宋_GB2312"/>
          <w:color w:val="000000"/>
          <w:kern w:val="0"/>
          <w:sz w:val="24"/>
          <w:highlight w:val="none"/>
          <w:u w:val="single"/>
          <w:lang w:val="en-US" w:eastAsia="zh-CN" w:bidi="ar"/>
        </w:rPr>
        <w:t xml:space="preserve">   </w:t>
      </w:r>
      <w:r>
        <w:rPr>
          <w:rFonts w:hint="eastAsia" w:ascii="仿宋_GB2312" w:hAnsi="仿宋_GB2312" w:eastAsia="仿宋_GB2312" w:cs="仿宋_GB2312"/>
          <w:color w:val="000000"/>
          <w:kern w:val="0"/>
          <w:sz w:val="24"/>
          <w:highlight w:val="none"/>
          <w:u w:val="none"/>
          <w:lang w:val="en-US" w:eastAsia="zh-CN" w:bidi="ar"/>
        </w:rPr>
        <w:t>次</w:t>
      </w:r>
      <w:r>
        <w:rPr>
          <w:rFonts w:hint="eastAsia" w:ascii="仿宋_GB2312" w:hAnsi="仿宋_GB2312" w:eastAsia="仿宋_GB2312" w:cs="仿宋_GB2312"/>
          <w:color w:val="000000"/>
          <w:kern w:val="0"/>
          <w:sz w:val="24"/>
          <w:highlight w:val="none"/>
          <w:lang w:val="en-US" w:eastAsia="zh-CN" w:bidi="ar"/>
        </w:rPr>
        <w:t>验收，分</w:t>
      </w:r>
      <w:r>
        <w:rPr>
          <w:rFonts w:hint="eastAsia" w:ascii="仿宋_GB2312" w:hAnsi="仿宋_GB2312" w:eastAsia="仿宋_GB2312" w:cs="仿宋_GB2312"/>
          <w:color w:val="000000"/>
          <w:kern w:val="0"/>
          <w:sz w:val="24"/>
          <w:highlight w:val="none"/>
          <w:u w:val="single"/>
          <w:lang w:val="en-US" w:eastAsia="zh-CN" w:bidi="ar"/>
        </w:rPr>
        <w:t xml:space="preserve">  </w:t>
      </w:r>
      <w:r>
        <w:rPr>
          <w:rFonts w:hint="eastAsia" w:ascii="仿宋_GB2312" w:hAnsi="仿宋_GB2312" w:eastAsia="仿宋_GB2312" w:cs="仿宋_GB2312"/>
          <w:color w:val="000000"/>
          <w:kern w:val="0"/>
          <w:sz w:val="24"/>
          <w:highlight w:val="none"/>
          <w:lang w:val="en-US" w:eastAsia="zh-CN" w:bidi="ar"/>
        </w:rPr>
        <w:t>次付款。</w:t>
      </w:r>
    </w:p>
    <w:p w14:paraId="58824AEF">
      <w:pPr>
        <w:widowControl/>
        <w:spacing w:line="400" w:lineRule="exact"/>
        <w:ind w:firstLine="480" w:firstLineChars="200"/>
        <w:jc w:val="left"/>
        <w:rPr>
          <w:rFonts w:hint="eastAsia"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val="en-US" w:eastAsia="zh-CN" w:bidi="ar"/>
        </w:rPr>
        <w:t>货物</w:t>
      </w:r>
      <w:r>
        <w:rPr>
          <w:rFonts w:hint="eastAsia" w:ascii="仿宋_GB2312" w:hAnsi="仿宋_GB2312" w:eastAsia="仿宋_GB2312" w:cs="仿宋_GB2312"/>
          <w:color w:val="000000"/>
          <w:kern w:val="0"/>
          <w:sz w:val="24"/>
          <w:lang w:bidi="ar"/>
        </w:rPr>
        <w:t>交付后经乙方安装、调试</w:t>
      </w:r>
      <w:r>
        <w:rPr>
          <w:rFonts w:hint="eastAsia" w:ascii="仿宋_GB2312" w:hAnsi="仿宋_GB2312" w:eastAsia="仿宋_GB2312" w:cs="仿宋_GB2312"/>
          <w:color w:val="000000"/>
          <w:kern w:val="0"/>
          <w:sz w:val="24"/>
          <w:lang w:eastAsia="zh-CN" w:bidi="ar"/>
        </w:rPr>
        <w:t>（</w:t>
      </w:r>
      <w:r>
        <w:rPr>
          <w:rFonts w:hint="eastAsia" w:ascii="仿宋_GB2312" w:hAnsi="仿宋_GB2312" w:eastAsia="仿宋_GB2312" w:cs="仿宋_GB2312"/>
          <w:color w:val="000000"/>
          <w:kern w:val="0"/>
          <w:sz w:val="24"/>
          <w:lang w:val="en-US" w:eastAsia="zh-CN" w:bidi="ar"/>
        </w:rPr>
        <w:t>若需</w:t>
      </w:r>
      <w:r>
        <w:rPr>
          <w:rFonts w:hint="eastAsia" w:ascii="仿宋_GB2312" w:hAnsi="仿宋_GB2312" w:eastAsia="仿宋_GB2312" w:cs="仿宋_GB2312"/>
          <w:color w:val="000000"/>
          <w:kern w:val="0"/>
          <w:sz w:val="24"/>
          <w:lang w:eastAsia="zh-CN" w:bidi="ar"/>
        </w:rPr>
        <w:t>）</w:t>
      </w:r>
      <w:r>
        <w:rPr>
          <w:rFonts w:hint="eastAsia" w:ascii="仿宋_GB2312" w:hAnsi="仿宋_GB2312" w:eastAsia="仿宋_GB2312" w:cs="仿宋_GB2312"/>
          <w:color w:val="000000"/>
          <w:kern w:val="0"/>
          <w:sz w:val="24"/>
          <w:lang w:bidi="ar"/>
        </w:rPr>
        <w:t>并经双方验收合格之日起</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个工作日内，</w:t>
      </w:r>
      <w:r>
        <w:rPr>
          <w:rFonts w:ascii="仿宋_GB2312" w:hAnsi="仿宋_GB2312" w:eastAsia="仿宋_GB2312" w:cs="仿宋_GB2312"/>
          <w:color w:val="000000"/>
          <w:kern w:val="0"/>
          <w:sz w:val="24"/>
          <w:lang w:bidi="ar"/>
        </w:rPr>
        <w:t>且</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收到</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开具的符合采购人要求的发票之日起</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lang w:bidi="ar"/>
        </w:rPr>
        <w:t>个工作日内，</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向</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支付</w:t>
      </w:r>
      <w:r>
        <w:rPr>
          <w:rFonts w:hint="eastAsia" w:ascii="仿宋_GB2312" w:hAnsi="仿宋_GB2312" w:eastAsia="仿宋_GB2312" w:cs="仿宋_GB2312"/>
          <w:color w:val="000000"/>
          <w:kern w:val="0"/>
          <w:sz w:val="24"/>
          <w:lang w:val="en-US" w:eastAsia="zh-CN" w:bidi="ar"/>
        </w:rPr>
        <w:t>全部</w:t>
      </w:r>
      <w:r>
        <w:rPr>
          <w:rFonts w:ascii="仿宋_GB2312" w:hAnsi="仿宋_GB2312" w:eastAsia="仿宋_GB2312" w:cs="仿宋_GB2312"/>
          <w:color w:val="000000"/>
          <w:kern w:val="0"/>
          <w:sz w:val="24"/>
          <w:lang w:bidi="ar"/>
        </w:rPr>
        <w:t>款项。</w:t>
      </w:r>
      <w:r>
        <w:rPr>
          <w:rFonts w:hint="eastAsia" w:ascii="仿宋_GB2312" w:hAnsi="仿宋_GB2312" w:eastAsia="仿宋_GB2312" w:cs="仿宋_GB2312"/>
          <w:color w:val="000000"/>
          <w:kern w:val="0"/>
          <w:sz w:val="24"/>
          <w:lang w:bidi="ar"/>
        </w:rPr>
        <w:t>乙方</w:t>
      </w:r>
      <w:r>
        <w:rPr>
          <w:rFonts w:ascii="仿宋_GB2312" w:hAnsi="仿宋_GB2312" w:eastAsia="仿宋_GB2312" w:cs="仿宋_GB2312"/>
          <w:color w:val="000000"/>
          <w:kern w:val="0"/>
          <w:sz w:val="24"/>
          <w:lang w:bidi="ar"/>
        </w:rPr>
        <w:t>未及时开具发票或者发票信息不符等，</w:t>
      </w:r>
      <w:r>
        <w:rPr>
          <w:rFonts w:hint="eastAsia" w:ascii="仿宋_GB2312" w:hAnsi="仿宋_GB2312" w:eastAsia="仿宋_GB2312" w:cs="仿宋_GB2312"/>
          <w:color w:val="000000"/>
          <w:kern w:val="0"/>
          <w:sz w:val="24"/>
          <w:lang w:bidi="ar"/>
        </w:rPr>
        <w:t>甲方</w:t>
      </w:r>
      <w:r>
        <w:rPr>
          <w:rFonts w:ascii="仿宋_GB2312" w:hAnsi="仿宋_GB2312" w:eastAsia="仿宋_GB2312" w:cs="仿宋_GB2312"/>
          <w:color w:val="000000"/>
          <w:kern w:val="0"/>
          <w:sz w:val="24"/>
          <w:lang w:bidi="ar"/>
        </w:rPr>
        <w:t>有权拒绝付款且不承担违约责任。</w:t>
      </w:r>
    </w:p>
    <w:bookmarkEnd w:id="2"/>
    <w:p w14:paraId="2DEE69C6">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五、交付日期和地点</w:t>
      </w:r>
    </w:p>
    <w:p w14:paraId="607D02E9">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1.交付日期：合同生效之日起</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个工作日。</w:t>
      </w:r>
    </w:p>
    <w:p w14:paraId="0E584E48">
      <w:pPr>
        <w:widowControl/>
        <w:spacing w:line="400" w:lineRule="exact"/>
        <w:ind w:firstLine="480" w:firstLineChars="200"/>
        <w:jc w:val="left"/>
        <w:rPr>
          <w:rFonts w:ascii="仿宋_GB2312" w:hAnsi="仿宋_GB2312" w:eastAsia="仿宋_GB2312" w:cs="仿宋_GB2312"/>
          <w:color w:val="000000"/>
          <w:kern w:val="0"/>
          <w:sz w:val="24"/>
          <w:u w:val="single"/>
          <w:lang w:bidi="ar"/>
        </w:rPr>
      </w:pPr>
      <w:r>
        <w:rPr>
          <w:rFonts w:hint="eastAsia" w:ascii="仿宋_GB2312" w:hAnsi="仿宋_GB2312" w:eastAsia="仿宋_GB2312" w:cs="仿宋_GB2312"/>
          <w:color w:val="000000"/>
          <w:kern w:val="0"/>
          <w:sz w:val="24"/>
          <w:lang w:bidi="ar"/>
        </w:rPr>
        <w:t>2.交付地点：</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w:t>
      </w:r>
    </w:p>
    <w:p w14:paraId="28A0E77D">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3.联系人及电话：</w:t>
      </w:r>
      <w:r>
        <w:rPr>
          <w:rFonts w:hint="eastAsia" w:ascii="仿宋_GB2312" w:hAnsi="仿宋_GB2312" w:eastAsia="仿宋_GB2312" w:cs="仿宋_GB2312"/>
          <w:color w:val="000000"/>
          <w:kern w:val="0"/>
          <w:sz w:val="24"/>
          <w:u w:val="single"/>
          <w:lang w:bidi="ar"/>
        </w:rPr>
        <w:t xml:space="preserve">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w:t>
      </w:r>
    </w:p>
    <w:p w14:paraId="2CDC5FC6">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六、包装、装运及运输</w:t>
      </w:r>
    </w:p>
    <w:p w14:paraId="4ED7B3E4">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1.乙方负责包装、装运和运输，由于不适当的包装、装运和运输造成货物有任何损坏均由乙方负责。</w:t>
      </w:r>
    </w:p>
    <w:p w14:paraId="1ED9846D">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2.包装费、运费及相关费用已包含在合同总金额内。</w:t>
      </w:r>
    </w:p>
    <w:p w14:paraId="6CA85BF0">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七、质量标准及履约验收</w:t>
      </w:r>
    </w:p>
    <w:p w14:paraId="66FCBB1A">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1.乙方应保证提供给甲方的合同货物是合同规定厂家制造的，产品名称、品牌、规格型号及数量与合同完全一致，是合同签署前一年内生产的。</w:t>
      </w:r>
    </w:p>
    <w:p w14:paraId="1151E5D5">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2.乙方提供的货物必须符合合同技术指标，符合国家及行业的安全质量标准、环保标准，能按国家及行业标准供应、检测、调试，确保产品技术指标满足使用要求。</w:t>
      </w:r>
    </w:p>
    <w:p w14:paraId="7D8C50A3">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3.乙方提供的货物应在合同约定时间抵达甲方指定地点后并进行开箱清点及初步检验。乙方应在收到甲方的验货通知后到现场参加开箱清点及初步检验。</w:t>
      </w:r>
    </w:p>
    <w:p w14:paraId="66BE15D1">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4.甲方对合同货物的数量、规格和质量的检验，应依据《校（院）采购项目履约验收管理办法》校（院）字〔2024〕141号规定，成立验收小组，实施项目验收，形成验收记录。</w:t>
      </w:r>
    </w:p>
    <w:p w14:paraId="0C428A2D">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5.若检验时发现货物数量不足、规格与合同要求不符或开箱时虽然货物外包装完好无损，但箱内货物短缺或损伤，乙方应按合同相关约定及时补足或更换。</w:t>
      </w:r>
    </w:p>
    <w:p w14:paraId="47EA63ED">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6.本合同各相关条款中凡与乙方责任或义务相关及由乙方原因所引起涉及各项货物、零件、部件、配件及资料的更、换、补、退等情形，所发生相关的任何价款、成本、费用，包括但不限于运输、安装、服务、维修、调试等，以及保险、税费等， 均应当由乙方承担。                     </w:t>
      </w:r>
    </w:p>
    <w:p w14:paraId="2254F7F5">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八、技术服务和保修责任</w:t>
      </w:r>
    </w:p>
    <w:p w14:paraId="0403C8EC">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1.本合同所采购与供应货物的质保期自验收合格之日起 </w:t>
      </w:r>
      <w:r>
        <w:rPr>
          <w:rFonts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年。</w:t>
      </w:r>
    </w:p>
    <w:p w14:paraId="1AF75378">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w:t>
      </w:r>
      <w:r>
        <w:rPr>
          <w:rFonts w:ascii="仿宋_GB2312" w:hAnsi="仿宋_GB2312" w:eastAsia="仿宋_GB2312" w:cs="仿宋_GB2312"/>
          <w:color w:val="000000"/>
          <w:kern w:val="0"/>
          <w:sz w:val="24"/>
          <w:lang w:bidi="ar"/>
        </w:rPr>
        <w:t>.</w:t>
      </w:r>
      <w:r>
        <w:rPr>
          <w:rFonts w:hint="eastAsia" w:ascii="仿宋_GB2312" w:hAnsi="仿宋_GB2312" w:eastAsia="仿宋_GB2312" w:cs="仿宋_GB2312"/>
          <w:color w:val="000000"/>
          <w:kern w:val="0"/>
          <w:sz w:val="24"/>
          <w:lang w:bidi="ar"/>
        </w:rPr>
        <w:t>质量保证期内，乙方无条件向甲方提供缺陷产品的免费维修、更换甲方所必须及急需的备品备件等服务。</w:t>
      </w:r>
    </w:p>
    <w:p w14:paraId="2B4958F4">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w:t>
      </w:r>
      <w:r>
        <w:rPr>
          <w:rFonts w:ascii="仿宋_GB2312" w:hAnsi="仿宋_GB2312" w:eastAsia="仿宋_GB2312" w:cs="仿宋_GB2312"/>
          <w:color w:val="000000"/>
          <w:kern w:val="0"/>
          <w:sz w:val="24"/>
          <w:lang w:bidi="ar"/>
        </w:rPr>
        <w:t>.</w:t>
      </w:r>
      <w:r>
        <w:rPr>
          <w:rFonts w:hint="eastAsia" w:ascii="仿宋_GB2312" w:hAnsi="仿宋_GB2312" w:eastAsia="仿宋_GB2312" w:cs="仿宋_GB2312"/>
          <w:color w:val="000000"/>
          <w:kern w:val="0"/>
          <w:sz w:val="24"/>
          <w:lang w:bidi="ar"/>
        </w:rPr>
        <w:t>质量保证期内终身维护，实行三包：自交货之日起30日内出现质量问题的，可退货，由供应商承担由此产生的一切费用和损失；自交货之日起60日内出现质量问题的，可换货，由供应商承担由此产生的一切费用和损失。质保期满免费提供技术维修服务，甲方如需更换零配件，乙方只能收取零配件的成本费，并由乙方负责更换零配件。</w:t>
      </w:r>
    </w:p>
    <w:p w14:paraId="543E5327">
      <w:pPr>
        <w:widowControl/>
        <w:spacing w:line="400" w:lineRule="exact"/>
        <w:ind w:firstLine="480" w:firstLineChars="200"/>
        <w:jc w:val="left"/>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4</w:t>
      </w:r>
      <w:r>
        <w:rPr>
          <w:rFonts w:hint="eastAsia" w:ascii="仿宋_GB2312" w:hAnsi="仿宋_GB2312" w:eastAsia="仿宋_GB2312" w:cs="仿宋_GB2312"/>
          <w:color w:val="000000"/>
          <w:kern w:val="0"/>
          <w:sz w:val="24"/>
          <w:lang w:bidi="ar"/>
        </w:rPr>
        <w:t>.本合同签订后及货物使用中，如涉及增加或改进安全性的软件升级问题，无论甲方是否知晓或是否向乙方提出，乙方均应当在其刚开始应用该软件时的第一时间内，免费更新并调试完好。</w:t>
      </w:r>
    </w:p>
    <w:p w14:paraId="63356AF8">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九、违约责任</w:t>
      </w:r>
    </w:p>
    <w:p w14:paraId="18B2E9C9">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1.甲乙双方任意一方无故终止合同的，违约方应当按照合同总金额的</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％向守约方支付违约金，包括但不限于律师费、诉讼费、保全费、鉴定费、差旅费等，均由违约方承担。</w:t>
      </w:r>
    </w:p>
    <w:p w14:paraId="736D4971">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2.乙方逾期交付货物时，每逾</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日乙方向甲方支付合同总金额</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％的违约金，甲方有权在应付款项中直接扣减；逾期交货超过</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日的，甲方有权单方解除合同，供应商应承担全部法律责任并赔偿由此给采购人造成的全部损失。</w:t>
      </w:r>
    </w:p>
    <w:p w14:paraId="075C45F5">
      <w:pPr>
        <w:widowControl/>
        <w:spacing w:line="400" w:lineRule="exact"/>
        <w:ind w:firstLine="480" w:firstLineChars="200"/>
        <w:jc w:val="left"/>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3</w:t>
      </w:r>
      <w:r>
        <w:rPr>
          <w:rFonts w:hint="eastAsia" w:ascii="仿宋_GB2312" w:hAnsi="仿宋_GB2312" w:eastAsia="仿宋_GB2312" w:cs="仿宋_GB2312"/>
          <w:color w:val="000000"/>
          <w:kern w:val="0"/>
          <w:sz w:val="24"/>
          <w:lang w:bidi="ar"/>
        </w:rPr>
        <w:t>.在质保期内产品出现质量问题，乙方（售后人员：</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联系方式：</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）必须在接到甲方通知后</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小时内到达现场解决，否则甲方可由第三方进行解决，由此产生的费用由乙方承担，甲方有权从合同未付款项中扣除相关费用，产生的损失由乙方赔偿。</w:t>
      </w:r>
    </w:p>
    <w:p w14:paraId="49C27F73">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十、争议的解决</w:t>
      </w:r>
    </w:p>
    <w:p w14:paraId="42244F18">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合同双方应通过友好协商方式解决争议。如果经协商不能达成协议，</w:t>
      </w:r>
      <w:r>
        <w:rPr>
          <w:rFonts w:ascii="仿宋_GB2312" w:hAnsi="仿宋_GB2312" w:eastAsia="仿宋_GB2312" w:cs="仿宋_GB2312"/>
          <w:color w:val="000000"/>
          <w:kern w:val="0"/>
          <w:sz w:val="24"/>
          <w:lang w:bidi="ar"/>
        </w:rPr>
        <w:t>向甲方所在地人民法院提起诉讼。</w:t>
      </w:r>
    </w:p>
    <w:p w14:paraId="1E0B17B7">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十一、合同文件</w:t>
      </w:r>
    </w:p>
    <w:p w14:paraId="1B3A8B9D">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组成本合同的文件包括：</w:t>
      </w:r>
    </w:p>
    <w:p w14:paraId="6B4C8A55">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1.本项目采购记录；</w:t>
      </w:r>
    </w:p>
    <w:p w14:paraId="6C1CF126">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2.合同格式；</w:t>
      </w:r>
    </w:p>
    <w:p w14:paraId="25D1809B">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3.本合同附件。</w:t>
      </w:r>
    </w:p>
    <w:p w14:paraId="3B2C84EC">
      <w:pPr>
        <w:widowControl/>
        <w:spacing w:line="400" w:lineRule="exact"/>
        <w:ind w:firstLine="480" w:firstLineChars="200"/>
        <w:jc w:val="left"/>
        <w:rPr>
          <w:rFonts w:ascii="黑体" w:hAnsi="黑体" w:eastAsia="黑体" w:cs="仿宋_GB2312"/>
          <w:color w:val="000000"/>
          <w:kern w:val="0"/>
          <w:sz w:val="24"/>
          <w:lang w:bidi="ar"/>
        </w:rPr>
      </w:pPr>
      <w:r>
        <w:rPr>
          <w:rFonts w:hint="eastAsia" w:ascii="黑体" w:hAnsi="黑体" w:eastAsia="黑体" w:cs="仿宋_GB2312"/>
          <w:color w:val="000000"/>
          <w:kern w:val="0"/>
          <w:sz w:val="24"/>
          <w:lang w:bidi="ar"/>
        </w:rPr>
        <w:t>十二、其他约定事项</w:t>
      </w:r>
    </w:p>
    <w:p w14:paraId="78134219">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1.本合同中的附件均为本合同不可分割的部分，与本合同具有相同的法律效力。</w:t>
      </w:r>
    </w:p>
    <w:p w14:paraId="7E83EE10">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2.本合同自双方法定代表人或授权代表签字并加盖公章后生效。</w:t>
      </w:r>
    </w:p>
    <w:p w14:paraId="2D0C5E57">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3.本合同一式四份，具有同等法律效力。甲方贰份，乙方贰份。</w:t>
      </w:r>
    </w:p>
    <w:p w14:paraId="19EDFB47">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4.合同未尽事宜，经双方协商可签订补充协议，所签订的补充协议与本合同具有同等的法律效力，补充协议的生效应符合本合同及相关法律法规的相关规定。</w:t>
      </w:r>
    </w:p>
    <w:p w14:paraId="5E33C38E">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黑体" w:hAnsi="黑体" w:eastAsia="黑体" w:cs="仿宋_GB2312"/>
          <w:color w:val="000000"/>
          <w:kern w:val="0"/>
          <w:sz w:val="24"/>
          <w:lang w:bidi="ar"/>
        </w:rPr>
        <w:t>十三、合同附件</w:t>
      </w:r>
      <w:r>
        <w:rPr>
          <w:rFonts w:hint="eastAsia" w:ascii="仿宋_GB2312" w:hAnsi="仿宋_GB2312" w:eastAsia="仿宋_GB2312" w:cs="仿宋_GB2312"/>
          <w:color w:val="000000"/>
          <w:kern w:val="0"/>
          <w:sz w:val="24"/>
          <w:lang w:bidi="ar"/>
        </w:rPr>
        <w:t>（若有多个附件应注明附件名称）</w:t>
      </w:r>
    </w:p>
    <w:p w14:paraId="6CCA0E9B">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1.货物清单；</w:t>
      </w:r>
    </w:p>
    <w:p w14:paraId="445F40BA">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2.货物价格明细表；</w:t>
      </w:r>
    </w:p>
    <w:p w14:paraId="34F4A1DC">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3.履约验收记录。</w:t>
      </w:r>
    </w:p>
    <w:p w14:paraId="39888B06">
      <w:pPr>
        <w:widowControl/>
        <w:spacing w:line="400" w:lineRule="exact"/>
        <w:ind w:firstLine="480" w:firstLineChars="200"/>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务必保证“产品名称、品牌、规格、型号”与实际到货货物铭牌完全保持一致。</w:t>
      </w:r>
    </w:p>
    <w:p w14:paraId="665A0A83">
      <w:pPr>
        <w:widowControl/>
        <w:spacing w:line="400" w:lineRule="exact"/>
        <w:ind w:firstLine="480" w:firstLineChars="200"/>
        <w:jc w:val="left"/>
        <w:rPr>
          <w:rFonts w:ascii="仿宋_GB2312" w:hAnsi="仿宋_GB2312" w:eastAsia="仿宋_GB2312" w:cs="仿宋_GB2312"/>
          <w:color w:val="000000"/>
          <w:kern w:val="0"/>
          <w:sz w:val="24"/>
          <w:lang w:bidi="ar"/>
        </w:rPr>
      </w:pPr>
    </w:p>
    <w:p w14:paraId="56CD30D8">
      <w:pPr>
        <w:widowControl/>
        <w:spacing w:line="400" w:lineRule="exact"/>
        <w:ind w:firstLine="480" w:firstLineChars="200"/>
        <w:jc w:val="left"/>
        <w:rPr>
          <w:rFonts w:ascii="仿宋_GB2312" w:hAnsi="仿宋_GB2312" w:eastAsia="仿宋_GB2312" w:cs="仿宋_GB2312"/>
          <w:color w:val="000000"/>
          <w:kern w:val="0"/>
          <w:sz w:val="24"/>
          <w:lang w:bidi="ar"/>
        </w:rPr>
      </w:pPr>
    </w:p>
    <w:p w14:paraId="0443214B">
      <w:pPr>
        <w:widowControl/>
        <w:spacing w:line="400" w:lineRule="exact"/>
        <w:ind w:firstLine="480" w:firstLineChars="200"/>
        <w:jc w:val="left"/>
        <w:rPr>
          <w:rFonts w:ascii="仿宋_GB2312" w:hAnsi="仿宋_GB2312" w:eastAsia="仿宋_GB2312" w:cs="仿宋_GB2312"/>
          <w:color w:val="000000"/>
          <w:kern w:val="0"/>
          <w:sz w:val="24"/>
          <w:lang w:bidi="ar"/>
        </w:rPr>
      </w:pPr>
    </w:p>
    <w:p w14:paraId="667C463E">
      <w:pPr>
        <w:widowControl/>
        <w:spacing w:line="400" w:lineRule="exact"/>
        <w:ind w:firstLine="480" w:firstLineChars="200"/>
        <w:jc w:val="left"/>
        <w:rPr>
          <w:rFonts w:ascii="仿宋_GB2312" w:hAnsi="仿宋_GB2312" w:eastAsia="仿宋_GB2312" w:cs="仿宋_GB2312"/>
          <w:color w:val="000000"/>
          <w:kern w:val="0"/>
          <w:sz w:val="24"/>
          <w:lang w:bidi="ar"/>
        </w:rPr>
      </w:pPr>
    </w:p>
    <w:p w14:paraId="2E297783">
      <w:pPr>
        <w:widowControl/>
        <w:spacing w:line="400" w:lineRule="exact"/>
        <w:ind w:firstLine="480" w:firstLineChars="200"/>
        <w:jc w:val="left"/>
        <w:rPr>
          <w:rFonts w:ascii="仿宋_GB2312" w:hAnsi="仿宋_GB2312" w:eastAsia="仿宋_GB2312" w:cs="仿宋_GB2312"/>
          <w:color w:val="000000"/>
          <w:kern w:val="0"/>
          <w:sz w:val="24"/>
          <w:lang w:bidi="ar"/>
        </w:rPr>
      </w:pPr>
    </w:p>
    <w:p w14:paraId="48DBC0F9">
      <w:pPr>
        <w:widowControl/>
        <w:spacing w:line="400" w:lineRule="exact"/>
        <w:ind w:firstLine="480" w:firstLineChars="200"/>
        <w:jc w:val="left"/>
        <w:rPr>
          <w:rFonts w:ascii="仿宋_GB2312" w:hAnsi="仿宋_GB2312" w:eastAsia="仿宋_GB2312" w:cs="仿宋_GB2312"/>
          <w:color w:val="000000"/>
          <w:kern w:val="0"/>
          <w:sz w:val="24"/>
          <w:lang w:bidi="ar"/>
        </w:rPr>
      </w:pPr>
    </w:p>
    <w:p w14:paraId="58E6CF69">
      <w:pPr>
        <w:widowControl/>
        <w:spacing w:line="400" w:lineRule="exact"/>
        <w:ind w:firstLine="480" w:firstLineChars="200"/>
        <w:jc w:val="left"/>
        <w:rPr>
          <w:rFonts w:ascii="仿宋_GB2312" w:hAnsi="仿宋_GB2312" w:eastAsia="仿宋_GB2312" w:cs="仿宋_GB2312"/>
          <w:color w:val="000000"/>
          <w:kern w:val="0"/>
          <w:sz w:val="24"/>
          <w:lang w:bidi="ar"/>
        </w:rPr>
      </w:pPr>
    </w:p>
    <w:p w14:paraId="31691F11">
      <w:pPr>
        <w:widowControl/>
        <w:spacing w:line="560" w:lineRule="exact"/>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甲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方：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乙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方：</w:t>
      </w:r>
    </w:p>
    <w:p w14:paraId="7F327410">
      <w:pPr>
        <w:widowControl/>
        <w:spacing w:line="560" w:lineRule="exact"/>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单位名称（公章）：                     单位名称（公章）：</w:t>
      </w:r>
    </w:p>
    <w:p w14:paraId="1E6AC9C5">
      <w:pPr>
        <w:widowControl/>
        <w:spacing w:line="560" w:lineRule="exact"/>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住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所：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 xml:space="preserve">住 </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所：</w:t>
      </w:r>
    </w:p>
    <w:p w14:paraId="450ED32A">
      <w:pPr>
        <w:widowControl/>
        <w:spacing w:line="560" w:lineRule="exact"/>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val="en-US" w:eastAsia="zh-CN" w:bidi="ar"/>
        </w:rPr>
        <w:t>授权</w:t>
      </w:r>
      <w:r>
        <w:rPr>
          <w:rFonts w:hint="eastAsia" w:ascii="仿宋_GB2312" w:hAnsi="仿宋_GB2312" w:eastAsia="仿宋_GB2312" w:cs="仿宋_GB2312"/>
          <w:color w:val="000000"/>
          <w:kern w:val="0"/>
          <w:sz w:val="24"/>
          <w:lang w:bidi="ar"/>
        </w:rPr>
        <w:t>代表人（签字）：                   法定</w:t>
      </w:r>
      <w:r>
        <w:rPr>
          <w:rFonts w:hint="eastAsia" w:ascii="仿宋_GB2312" w:hAnsi="仿宋_GB2312" w:eastAsia="仿宋_GB2312" w:cs="仿宋_GB2312"/>
          <w:color w:val="000000"/>
          <w:kern w:val="0"/>
          <w:sz w:val="24"/>
          <w:lang w:val="en-US" w:eastAsia="zh-CN" w:bidi="ar"/>
        </w:rPr>
        <w:t>或授权</w:t>
      </w:r>
      <w:r>
        <w:rPr>
          <w:rFonts w:hint="eastAsia" w:ascii="仿宋_GB2312" w:hAnsi="仿宋_GB2312" w:eastAsia="仿宋_GB2312" w:cs="仿宋_GB2312"/>
          <w:color w:val="000000"/>
          <w:kern w:val="0"/>
          <w:sz w:val="24"/>
          <w:lang w:bidi="ar"/>
        </w:rPr>
        <w:t>代表人（签字）：</w:t>
      </w:r>
    </w:p>
    <w:p w14:paraId="76FCCFD1">
      <w:pPr>
        <w:widowControl/>
        <w:spacing w:line="560" w:lineRule="exact"/>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 xml:space="preserve">签订日期：年 月 日                     签订日期： 年  月  日                        </w:t>
      </w:r>
    </w:p>
    <w:p w14:paraId="379ADDC0">
      <w:pPr>
        <w:spacing w:line="560" w:lineRule="exact"/>
        <w:rPr>
          <w:rFonts w:ascii="黑体" w:hAnsi="黑体" w:eastAsia="黑体" w:cs="黑体"/>
          <w:b/>
          <w:sz w:val="32"/>
          <w:szCs w:val="32"/>
        </w:rPr>
      </w:pPr>
    </w:p>
    <w:p w14:paraId="6B646F9E">
      <w:pPr>
        <w:spacing w:line="580" w:lineRule="exact"/>
        <w:rPr>
          <w:rFonts w:ascii="黑体" w:hAnsi="黑体" w:eastAsia="黑体" w:cs="黑体"/>
          <w:b/>
          <w:sz w:val="32"/>
          <w:szCs w:val="32"/>
        </w:rPr>
      </w:pPr>
    </w:p>
    <w:p w14:paraId="4CA03DC4">
      <w:pPr>
        <w:spacing w:line="580" w:lineRule="exact"/>
        <w:rPr>
          <w:rFonts w:ascii="黑体" w:hAnsi="黑体" w:eastAsia="黑体" w:cs="黑体"/>
          <w:b/>
          <w:sz w:val="32"/>
          <w:szCs w:val="32"/>
        </w:rPr>
      </w:pPr>
    </w:p>
    <w:p w14:paraId="08CB8A3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D69B75"/>
    <w:multiLevelType w:val="singleLevel"/>
    <w:tmpl w:val="32D69B7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85"/>
    <w:rsid w:val="00001CEC"/>
    <w:rsid w:val="000B0D04"/>
    <w:rsid w:val="00142EC4"/>
    <w:rsid w:val="00203A7E"/>
    <w:rsid w:val="002678BC"/>
    <w:rsid w:val="00406B30"/>
    <w:rsid w:val="004B4242"/>
    <w:rsid w:val="004B660A"/>
    <w:rsid w:val="004E7185"/>
    <w:rsid w:val="00797005"/>
    <w:rsid w:val="00C92FCF"/>
    <w:rsid w:val="00E3019A"/>
    <w:rsid w:val="0C8E25F0"/>
    <w:rsid w:val="27692D0F"/>
    <w:rsid w:val="34262D38"/>
    <w:rsid w:val="34BC4019"/>
    <w:rsid w:val="4ED61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 w:type="paragraph" w:customStyle="1" w:styleId="8">
    <w:name w:val="Table Text"/>
    <w:basedOn w:val="1"/>
    <w:semiHidden/>
    <w:qFormat/>
    <w:uiPriority w:val="0"/>
    <w:rPr>
      <w:rFonts w:ascii="宋体" w:hAnsi="宋体" w:eastAsia="宋体" w:cs="宋体"/>
      <w:sz w:val="18"/>
      <w:szCs w:val="18"/>
      <w:lang w:eastAsia="en-US"/>
    </w:rPr>
  </w:style>
  <w:style w:type="table" w:customStyle="1" w:styleId="9">
    <w:name w:val="Table Normal"/>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2231</Words>
  <Characters>2272</Characters>
  <Lines>100</Lines>
  <Paragraphs>87</Paragraphs>
  <TotalTime>4</TotalTime>
  <ScaleCrop>false</ScaleCrop>
  <LinksUpToDate>false</LinksUpToDate>
  <CharactersWithSpaces>2751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2025-10-11T07:20:00Z</dcterms:created>
  <dc:creator>China</dc:creator>
  <cp:lastModifiedBy>Administrator</cp:lastModifiedBy>
  <dcterms:modified xsi:type="dcterms:W3CDTF">2026-01-28T12:31:20Z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eyJoZGlkIjoiNDI5YWU1ZTc0MGZkYWE3MjNmNDQ1Mzc1MjFiZjliZmQiLCJ1c2VySWQiOiI0NTY4ODA4MjAifQ==</vt:lpwstr>
  </property>
  <property fmtid="{D5CDD505-2E9C-101B-9397-08002B2CF9AE}" pid="3" name="KSOProductBuildVer">
    <vt:lpwstr>2052-12.1.0.24657</vt:lpwstr>
  </property>
  <property fmtid="{D5CDD505-2E9C-101B-9397-08002B2CF9AE}" pid="4" name="ICV">
    <vt:lpwstr>4F6A31D24CC54B17ABBCDDEA47B8B744_12</vt:lpwstr>
  </property>
</Properties>
</file>