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山东第一医科大学（山东省医学科学院）基于多组学检测的卵巢发育调控机制研究技术测试服务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SDGP370000000202602002155</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海逸恒安项目管理有限公司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海逸恒安项目管理有限公司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山东第一医科大学（山东省医学科学院）基于多组学检测的卵巢发育调控机制研究技术测试服务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SDGP370000000202602002155</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山东第一医科大学（山东省医学科学院）基于多组学检测的卵巢发育调控机制研究技术测试服务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本项目拟采购基于多组学检测的卵巢发育调控机制研究技术测试服务，包含空间Cut&amp;Tag实验及个性化分析18例、空间转录组检测及分析30例、单分子RNA原位检测及分析16例。</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3、具有履行合同所必需的设备和专业技术能力：供应商须具有履行合同所必需的设备和专业技术能力，须附信用承诺函或相关证明材料。</w:t>
      </w:r>
    </w:p>
    <w:p>
      <w:pPr>
        <w:pStyle w:val="null5"/>
        <w:jc w:val="left"/>
      </w:pPr>
      <w:r>
        <w:rPr>
          <w:rFonts w:ascii="仿宋_GB2312" w:hAnsi="仿宋_GB2312" w:cs="仿宋_GB2312" w:eastAsia="仿宋_GB2312"/>
        </w:rPr>
        <w:t>4、有依法缴纳税收和社会保障资金的良好记录：供应商须具有依法缴纳税收和社会保障资金的良好记录，须提供信用承诺函或相关证明材料。如提供证明材料，则： 缴纳税收的证明材料，应提供首次响应文件递交截止时间前三个月内任意一个月的依法缴税凭据； 缴纳社会保障资金的证明材料，应提供首次响应文件递交截止时间前三个月内任意一个月的缴纳社会保险的凭据； 注：依法免税或不需要缴纳社会保障资金的供应商，须提供相应文件证明其依法免税或不需要缴纳社会保障资金。</w:t>
      </w:r>
    </w:p>
    <w:p>
      <w:pPr>
        <w:pStyle w:val="null5"/>
        <w:jc w:val="left"/>
      </w:pPr>
      <w:r>
        <w:rPr>
          <w:rFonts w:ascii="仿宋_GB2312" w:hAnsi="仿宋_GB2312" w:cs="仿宋_GB2312" w:eastAsia="仿宋_GB2312"/>
        </w:rPr>
        <w:t>5、参加政府采购活动前三年内，在经营活动中没有重大违法记录：近三年内（本项目首次响应文件递交截止日前）供应商在经营活动中没有重大违法记录，供应商须提供书面声明或信用承诺函。其中：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p>
      <w:pPr>
        <w:pStyle w:val="null5"/>
        <w:jc w:val="left"/>
      </w:pPr>
      <w:r>
        <w:rPr>
          <w:rFonts w:ascii="仿宋_GB2312" w:hAnsi="仿宋_GB2312" w:cs="仿宋_GB2312" w:eastAsia="仿宋_GB2312"/>
        </w:rPr>
        <w:t>6、符合法律、行政法规规定的其他条件：符合法律、行政法规规定的其他条件。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信用查询是否存在不良记录：供应商在“信用中国”、“中国政府采购网”网站被列入失信被执行人、重大税收违法失信主体名单的、政府采购严重违法失信行为记录名单（处罚期限尚未届满的）的，不得参与本项目的政府采购活动。</w:t>
      </w:r>
    </w:p>
    <w:p>
      <w:pPr>
        <w:pStyle w:val="null5"/>
        <w:jc w:val="left"/>
      </w:pPr>
      <w:r>
        <w:rPr>
          <w:rFonts w:ascii="仿宋_GB2312" w:hAnsi="仿宋_GB2312" w:cs="仿宋_GB2312" w:eastAsia="仿宋_GB2312"/>
        </w:rPr>
        <w:t>2、单位负责人是否为同一人或者存在直接控股、管理关系：单位负责人为同一人或者存在直接控股、管理关系的不同供应商，不得参加同一包的报价或者未划分包的同一项目的报价，供应商须提供书面声明。</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250117</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山东省济南市历下区华润置地广场6号楼27层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向忆寒、陈晓楠</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0531-82661880、18780039059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采购包1：1,780,000.00元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各供应商应在商务应答表中确认履约保证金的缴纳方式，请在银行转账与汇票两种方式中任选一种。2、若成交供应商为中小企业，履约保证金为合同金额的2%。3、项目验收前，成交供应商应将所有合同项下所有服务内容完成，并经采购人审核通过，否则采购人有权拒绝验收，由此造成的法律责任、各种损失由成交供应商承担。4、履约保证金在服务验收合格，没有任何质量问题后，由供应商向采购人提交申请，采购人按相关规定无息退还给供应商。5、履约保证金缴纳信息：开户单位：山东第一医科大学；开户银行：中国农业银行股份有限公司济南槐荫支行；账号：15126101040096666；大额支付行号：103451012615。</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代理服务费收费标准：参照国家发展计划委员会计价格〔2002〕1980号《招标代理服务收费管理暂行办法》的规定，以差额累进法计算后下浮30%计取，由成交供应商向代理机构交纳。</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本项目一个包，不涉及兼投不兼中规则。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海逸恒安项目管理有限公司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服务内容全部完成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符合采购文件、响应文件及合同中技术内容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符合采购文件、响应文件及合同中商务内容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7.1本合同为甲方进行履约验收的主要依据。甲方应专门成立履约验收小组，验收应严格遵循国家及相关行业质量等标准，符合采购文件要求，响应文件及乙方在评审过程中做出的书面澄清及承诺，冲突之处执行最高标准。根据服务要求对服务进行逐项验收，并填报《履约验收书》和验收报告，验收报告作为付款凭据之一。 7.2乙方配合验收，提供所需资料，甲方根据本项目采购文件要求，响应文件及乙方在评审过程中做出的书面澄清及承诺，对乙方提供的原始数据及数据分析报告，从完整性、准确性、合规性等方面进行验收，乙方对存疑问题进行解释或补充。必要时可邀请第三方机构或专业人员协助组织。对项目验收发生的检测（检验）费、劳务报酬等费用支出，由乙方承担。</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联系人：向忆寒</w:t>
      </w:r>
    </w:p>
    <w:p>
      <w:pPr>
        <w:pStyle w:val="null5"/>
        <w:jc w:val="left"/>
      </w:pPr>
      <w:r>
        <w:rPr>
          <w:rFonts w:ascii="仿宋_GB2312" w:hAnsi="仿宋_GB2312" w:cs="仿宋_GB2312" w:eastAsia="仿宋_GB2312"/>
        </w:rPr>
        <w:t>联系电话：0531-82661880、18780039059</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邮编：250014</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1,780,000.00</w:t>
      </w:r>
    </w:p>
    <w:p>
      <w:pPr>
        <w:pStyle w:val="null5"/>
        <w:jc w:val="left"/>
      </w:pPr>
      <w:r>
        <w:rPr>
          <w:rFonts w:ascii="仿宋_GB2312" w:hAnsi="仿宋_GB2312" w:cs="仿宋_GB2312" w:eastAsia="仿宋_GB2312"/>
        </w:rPr>
        <w:t>采购包最高限价（元）: 1,780,000.00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基于多组学检测的卵巢发育调控机制研究技术测试服务</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1,780,000.00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基于多组学检测的卵巢发育调控机制研究技术测试服务</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1,780,000.00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基于多组学检测的卵巢发育调控机制研究技术测试服务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基于多组学检测的卵巢发育调控机制研究技术测试服务</w:t>
            </w:r>
          </w:p>
        </w:tc>
        <w:tc>
          <w:tcPr>
            <w:tcW w:type="dxa" w:w="2076"/>
          </w:tcPr>
          <w:p>
            <w:pPr>
              <w:pStyle w:val="null5"/>
              <w:jc w:val="left"/>
            </w:pPr>
            <w:r>
              <w:rPr>
                <w:rFonts w:ascii="仿宋_GB2312" w:hAnsi="仿宋_GB2312" w:cs="仿宋_GB2312" w:eastAsia="仿宋_GB2312"/>
              </w:rPr>
              <w:t>供应商限报一种方案报价，采购人不接受可选择的报价方案。供应商的报价包括完成本项目磋商文件中所提出的工作范围及要求的全部内容，并达到采购人验收标准的所有费用及及其他附带服务的费用、利润、税金及后续服务等的所需的全部费用，报价币种为人民币。</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1,780,000.00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标的名称：基于多组学检测的卵巢发育调控机制研究技术测试服务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（一）空间Cut&amp;Tag实验及分析</w:t>
            </w:r>
          </w:p>
        </w:tc>
        <w:tc>
          <w:tcPr>
            <w:tcW w:type="dxa" w:w="2076"/>
          </w:tcPr>
          <w:p>
            <w:pPr>
              <w:pStyle w:val="null5"/>
              <w:jc w:val="left"/>
            </w:pPr>
            <w:r>
              <w:rPr>
                <w:rFonts w:ascii="仿宋_GB2312" w:hAnsi="仿宋_GB2312" w:cs="仿宋_GB2312" w:eastAsia="仿宋_GB2312"/>
              </w:rPr>
              <w:t>18例</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交付空间Cut&amp;Tag原始数据及分析结果。</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空间Cut&amp;Tag实验分析参数要求：</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2.1空间捕获位点数量</w:t>
            </w:r>
          </w:p>
        </w:tc>
        <w:tc>
          <w:tcPr>
            <w:tcW w:type="dxa" w:w="2076"/>
          </w:tcPr>
          <w:p>
            <w:pPr>
              <w:pStyle w:val="null5"/>
              <w:jc w:val="left"/>
            </w:pPr>
            <w:r>
              <w:rPr>
                <w:rFonts w:ascii="仿宋_GB2312" w:hAnsi="仿宋_GB2312" w:cs="仿宋_GB2312" w:eastAsia="仿宋_GB2312"/>
              </w:rPr>
              <w:t>≥10,000个/样本，确保组织空间覆盖度与分辨率,可表观修饰信号的有效捕获与表观修饰检测深度，确保数据分析的统计效力。</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2.2组织切片处理与原位CUT&amp;Tag</w:t>
            </w:r>
          </w:p>
        </w:tc>
        <w:tc>
          <w:tcPr>
            <w:tcW w:type="dxa" w:w="2076"/>
          </w:tcPr>
          <w:p>
            <w:pPr>
              <w:pStyle w:val="null5"/>
              <w:jc w:val="left"/>
            </w:pPr>
            <w:r>
              <w:rPr>
                <w:rFonts w:ascii="仿宋_GB2312" w:hAnsi="仿宋_GB2312" w:cs="仿宋_GB2312" w:eastAsia="仿宋_GB2312"/>
              </w:rPr>
              <w:t>提供组织切片/固定实验，确定修饰抗体选择等，合格标准为，组学形态完整性≥80%，无明显组织碎裂、保留染色质结构和组织形态，空间结构完整。</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2.3背景降噪与实验优化</w:t>
            </w:r>
          </w:p>
        </w:tc>
        <w:tc>
          <w:tcPr>
            <w:tcW w:type="dxa" w:w="2076"/>
          </w:tcPr>
          <w:p>
            <w:pPr>
              <w:pStyle w:val="null5"/>
              <w:jc w:val="left"/>
            </w:pPr>
            <w:r>
              <w:rPr>
                <w:rFonts w:ascii="仿宋_GB2312" w:hAnsi="仿宋_GB2312" w:cs="仿宋_GB2312" w:eastAsia="仿宋_GB2312"/>
              </w:rPr>
              <w:t>通过芯片内原位清洗流程、封闭、透化后，优化原位Cut&amp;Tag反应条件，提升空间Peak信号特异性与信噪比。</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技术平台与芯片要求</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spot分辨率≤1μm，芯片捕获面积≥7.5mm*7.5mm。</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需使用空间微流控/原位条形码芯片平台，采用高密度二维空间条形码阵列或类似技术。</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数据分析包含以下所有内容：</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基本分析，图像识别对齐展示</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4.1.1原始数据质量评估</w:t>
            </w:r>
          </w:p>
        </w:tc>
        <w:tc>
          <w:tcPr>
            <w:tcW w:type="dxa" w:w="2076"/>
          </w:tcPr>
          <w:p>
            <w:pPr>
              <w:pStyle w:val="null5"/>
              <w:jc w:val="left"/>
            </w:pPr>
            <w:r>
              <w:rPr>
                <w:rFonts w:ascii="仿宋_GB2312" w:hAnsi="仿宋_GB2312" w:cs="仿宋_GB2312" w:eastAsia="仿宋_GB2312"/>
              </w:rPr>
              <w:t>确保数据可靠性，生成质控报告(包含 nFrags、nCount_peaks、FRIP、TSSEnrichment、BlacklistRatio等指标）。</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4.1.2空间条形码校验</w:t>
            </w:r>
          </w:p>
        </w:tc>
        <w:tc>
          <w:tcPr>
            <w:tcW w:type="dxa" w:w="2076"/>
          </w:tcPr>
          <w:p>
            <w:pPr>
              <w:pStyle w:val="null5"/>
              <w:jc w:val="left"/>
            </w:pPr>
            <w:r>
              <w:rPr>
                <w:rFonts w:ascii="仿宋_GB2312" w:hAnsi="仿宋_GB2312" w:cs="仿宋_GB2312" w:eastAsia="仿宋_GB2312"/>
              </w:rPr>
              <w:t>验证空间条形码的准确性与完整性，关联检测数据与空间位置，输出条形码匹配统计表、位置关联文件、Fragments的文件等。</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4.1.3参考基因组比对</w:t>
            </w:r>
          </w:p>
        </w:tc>
        <w:tc>
          <w:tcPr>
            <w:tcW w:type="dxa" w:w="2076"/>
          </w:tcPr>
          <w:p>
            <w:pPr>
              <w:pStyle w:val="null5"/>
              <w:jc w:val="left"/>
            </w:pPr>
            <w:r>
              <w:rPr>
                <w:rFonts w:ascii="仿宋_GB2312" w:hAnsi="仿宋_GB2312" w:cs="仿宋_GB2312" w:eastAsia="仿宋_GB2312"/>
              </w:rPr>
              <w:t>将检测reads比对到参考基因组，定位序列位置，输出比对BAM文件、比对率统计信息等。</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峰识别与定量分析</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4.2.1 Peak calling</w:t>
            </w:r>
          </w:p>
        </w:tc>
        <w:tc>
          <w:tcPr>
            <w:tcW w:type="dxa" w:w="2076"/>
          </w:tcPr>
          <w:p>
            <w:pPr>
              <w:pStyle w:val="null5"/>
              <w:jc w:val="left"/>
            </w:pPr>
            <w:r>
              <w:rPr>
                <w:rFonts w:ascii="仿宋_GB2312" w:hAnsi="仿宋_GB2312" w:cs="仿宋_GB2312" w:eastAsia="仿宋_GB2312"/>
              </w:rPr>
              <w:t>识别组蛋白修饰或转录因子结合的峰值区域，输出Peak位置文件、Peak强度矩阵等。</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峰识别与定量分析</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4.2.1 Peak calling</w:t>
            </w:r>
          </w:p>
        </w:tc>
        <w:tc>
          <w:tcPr>
            <w:tcW w:type="dxa" w:w="2076"/>
          </w:tcPr>
          <w:p>
            <w:pPr>
              <w:pStyle w:val="null5"/>
              <w:jc w:val="left"/>
            </w:pPr>
            <w:r>
              <w:rPr>
                <w:rFonts w:ascii="仿宋_GB2312" w:hAnsi="仿宋_GB2312" w:cs="仿宋_GB2312" w:eastAsia="仿宋_GB2312"/>
              </w:rPr>
              <w:t>识别组蛋白修饰或转录因子结合的峰值区域，输出Peak位置文件、Peak强度矩阵等。</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4.2.2 空间Peak定量</w:t>
            </w:r>
          </w:p>
        </w:tc>
        <w:tc>
          <w:tcPr>
            <w:tcW w:type="dxa" w:w="2076"/>
          </w:tcPr>
          <w:p>
            <w:pPr>
              <w:pStyle w:val="null5"/>
              <w:jc w:val="left"/>
            </w:pPr>
            <w:r>
              <w:rPr>
                <w:rFonts w:ascii="仿宋_GB2312" w:hAnsi="仿宋_GB2312" w:cs="仿宋_GB2312" w:eastAsia="仿宋_GB2312"/>
              </w:rPr>
              <w:t>计算每个空间位置的Peak信号强度，生成空间信号矩阵，输出空间 Peak信号矩阵、Peak强度热图等。</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空间特征分析</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4.3.1 空间聚类分析</w:t>
            </w:r>
          </w:p>
        </w:tc>
        <w:tc>
          <w:tcPr>
            <w:tcW w:type="dxa" w:w="2076"/>
          </w:tcPr>
          <w:p>
            <w:pPr>
              <w:pStyle w:val="null5"/>
              <w:jc w:val="left"/>
            </w:pPr>
            <w:r>
              <w:rPr>
                <w:rFonts w:ascii="仿宋_GB2312" w:hAnsi="仿宋_GB2312" w:cs="仿宋_GB2312" w:eastAsia="仿宋_GB2312"/>
              </w:rPr>
              <w:t>根据Peak信号分布对组织区域进行聚类，揭示空间异质性，输出聚类结果图、聚类注释文件等。</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4.3.2 差异Peak分析</w:t>
            </w:r>
          </w:p>
        </w:tc>
        <w:tc>
          <w:tcPr>
            <w:tcW w:type="dxa" w:w="2076"/>
          </w:tcPr>
          <w:p>
            <w:pPr>
              <w:pStyle w:val="null5"/>
              <w:jc w:val="left"/>
            </w:pPr>
            <w:r>
              <w:rPr>
                <w:rFonts w:ascii="仿宋_GB2312" w:hAnsi="仿宋_GB2312" w:cs="仿宋_GB2312" w:eastAsia="仿宋_GB2312"/>
              </w:rPr>
              <w:t>比较不同组织区域或分组间的差异Peak，挖掘区域特异性表观修饰，输出差异Peak列表、差异Peak火山图等。</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4.3.3 空间共定位分析</w:t>
            </w:r>
          </w:p>
        </w:tc>
        <w:tc>
          <w:tcPr>
            <w:tcW w:type="dxa" w:w="2076"/>
          </w:tcPr>
          <w:p>
            <w:pPr>
              <w:pStyle w:val="null5"/>
              <w:jc w:val="left"/>
            </w:pPr>
            <w:r>
              <w:rPr>
                <w:rFonts w:ascii="仿宋_GB2312" w:hAnsi="仿宋_GB2312" w:cs="仿宋_GB2312" w:eastAsia="仿宋_GB2312"/>
              </w:rPr>
              <w:t>分析不同Peak或基因在空间上的共定位关系，输出共定位热图、共定位系数表等。</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注释与功能分析</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4.4.1 Peak注释</w:t>
            </w:r>
          </w:p>
        </w:tc>
        <w:tc>
          <w:tcPr>
            <w:tcW w:type="dxa" w:w="2076"/>
          </w:tcPr>
          <w:p>
            <w:pPr>
              <w:pStyle w:val="null5"/>
              <w:jc w:val="left"/>
            </w:pPr>
            <w:r>
              <w:rPr>
                <w:rFonts w:ascii="仿宋_GB2312" w:hAnsi="仿宋_GB2312" w:cs="仿宋_GB2312" w:eastAsia="仿宋_GB2312"/>
              </w:rPr>
              <w:t>将Peak关联到基因启动子、增强子等功能元件，预测靶基因，输出 Peak注释文件、靶基因列表等。</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4.4.2 Motif分析</w:t>
            </w:r>
          </w:p>
        </w:tc>
        <w:tc>
          <w:tcPr>
            <w:tcW w:type="dxa" w:w="2076"/>
          </w:tcPr>
          <w:p>
            <w:pPr>
              <w:pStyle w:val="null5"/>
              <w:jc w:val="left"/>
            </w:pPr>
            <w:r>
              <w:rPr>
                <w:rFonts w:ascii="仿宋_GB2312" w:hAnsi="仿宋_GB2312" w:cs="仿宋_GB2312" w:eastAsia="仿宋_GB2312"/>
              </w:rPr>
              <w:t>识别Peak区域的转录因子结合基序，推测调控因子，输出Motif序列、Motif富集图等。</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4.4.3 功能富集分析</w:t>
            </w:r>
          </w:p>
        </w:tc>
        <w:tc>
          <w:tcPr>
            <w:tcW w:type="dxa" w:w="2076"/>
          </w:tcPr>
          <w:p>
            <w:pPr>
              <w:pStyle w:val="null5"/>
              <w:jc w:val="left"/>
            </w:pPr>
            <w:r>
              <w:rPr>
                <w:rFonts w:ascii="仿宋_GB2312" w:hAnsi="仿宋_GB2312" w:cs="仿宋_GB2312" w:eastAsia="仿宋_GB2312"/>
              </w:rPr>
              <w:t>对差异Peak相关进行 GO、KEGG富集，解析生物学功能，输出 GO/KEGG 富集结果表、富集气泡图等。</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4.5</w:t>
            </w:r>
          </w:p>
        </w:tc>
        <w:tc>
          <w:tcPr>
            <w:tcW w:type="dxa" w:w="2076"/>
          </w:tcPr>
          <w:p>
            <w:pPr>
              <w:pStyle w:val="null5"/>
              <w:jc w:val="left"/>
            </w:pPr>
            <w:r>
              <w:rPr>
                <w:rFonts w:ascii="仿宋_GB2312" w:hAnsi="仿宋_GB2312" w:cs="仿宋_GB2312" w:eastAsia="仿宋_GB2312"/>
              </w:rPr>
              <w:t>多组学整合分析</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4.5.1 与空间转录组整合</w:t>
            </w:r>
          </w:p>
        </w:tc>
        <w:tc>
          <w:tcPr>
            <w:tcW w:type="dxa" w:w="2076"/>
          </w:tcPr>
          <w:p>
            <w:pPr>
              <w:pStyle w:val="null5"/>
              <w:jc w:val="left"/>
            </w:pPr>
            <w:r>
              <w:rPr>
                <w:rFonts w:ascii="仿宋_GB2312" w:hAnsi="仿宋_GB2312" w:cs="仿宋_GB2312" w:eastAsia="仿宋_GB2312"/>
              </w:rPr>
              <w:t>关联表观修饰与基因表达，揭示表观调控对基因表达的影响，输出联合分析热图、调控网络模型。解析细胞类型特异性表观修饰及差异表观图谱等。</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（二）空间转录组检测及分析</w:t>
            </w:r>
          </w:p>
        </w:tc>
        <w:tc>
          <w:tcPr>
            <w:tcW w:type="dxa" w:w="2076"/>
          </w:tcPr>
          <w:p>
            <w:pPr>
              <w:pStyle w:val="null5"/>
              <w:jc w:val="left"/>
            </w:pPr>
            <w:r>
              <w:rPr>
                <w:rFonts w:ascii="仿宋_GB2312" w:hAnsi="仿宋_GB2312" w:cs="仿宋_GB2312" w:eastAsia="仿宋_GB2312"/>
              </w:rPr>
              <w:t>探针法，30例</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交付空间转录组分析原始数据及分析结果,数据量≥300G。</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空间转录组检测分析参数要求：</w:t>
            </w:r>
          </w:p>
        </w:tc>
      </w:tr>
      <w:tr>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spot分辨率≤1μm，芯片捕获面积≥7.5mm*7.5mm。</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2.2 总探针对应基因数</w:t>
            </w:r>
          </w:p>
        </w:tc>
        <w:tc>
          <w:tcPr>
            <w:tcW w:type="dxa" w:w="2076"/>
          </w:tcPr>
          <w:p>
            <w:pPr>
              <w:pStyle w:val="null5"/>
              <w:jc w:val="left"/>
            </w:pPr>
            <w:r>
              <w:rPr>
                <w:rFonts w:ascii="仿宋_GB2312" w:hAnsi="仿宋_GB2312" w:cs="仿宋_GB2312" w:eastAsia="仿宋_GB2312"/>
              </w:rPr>
              <w:t>小鼠≥19000。</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兼容cellBin,典型样本bin16基因中位值≥2500。</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2.4 兼容样本类型</w:t>
            </w:r>
          </w:p>
        </w:tc>
        <w:tc>
          <w:tcPr>
            <w:tcW w:type="dxa" w:w="2076"/>
          </w:tcPr>
          <w:p>
            <w:pPr>
              <w:pStyle w:val="null5"/>
              <w:jc w:val="left"/>
            </w:pPr>
            <w:r>
              <w:rPr>
                <w:rFonts w:ascii="仿宋_GB2312" w:hAnsi="仿宋_GB2312" w:cs="仿宋_GB2312" w:eastAsia="仿宋_GB2312"/>
              </w:rPr>
              <w:t>FFPE/FF/FxF,兼容HE、DAPI染色。</w:t>
            </w:r>
          </w:p>
        </w:tc>
      </w:tr>
      <w:tr>
        <w:tc>
          <w:tcPr>
            <w:tcW w:type="dxa" w:w="2076"/>
          </w:tcPr>
          <w:p>
            <w:pPr>
              <w:pStyle w:val="null5"/>
              <w:jc w:val="left"/>
            </w:pPr>
            <w:r>
              <w:rPr>
                <w:rFonts w:ascii="仿宋_GB2312" w:hAnsi="仿宋_GB2312" w:cs="仿宋_GB2312" w:eastAsia="仿宋_GB2312"/>
              </w:rPr>
              <w:t>37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2.5 样本质控</w:t>
            </w:r>
          </w:p>
        </w:tc>
        <w:tc>
          <w:tcPr>
            <w:tcW w:type="dxa" w:w="2076"/>
          </w:tcPr>
          <w:p>
            <w:pPr>
              <w:pStyle w:val="null5"/>
              <w:jc w:val="left"/>
            </w:pPr>
            <w:r>
              <w:rPr>
                <w:rFonts w:ascii="仿宋_GB2312" w:hAnsi="仿宋_GB2312" w:cs="仿宋_GB2312" w:eastAsia="仿宋_GB2312"/>
              </w:rPr>
              <w:t>通过UBC原位杂交技术评估样本质量，提供量化参数。</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数据分析需包含以下所有内容：</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空间反卷积推断细胞类型组成。</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空间细胞类型评分。</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常规轨迹推断。</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空间轨迹分析。</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空间RNA Velocity分析。</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3.6</w:t>
            </w:r>
          </w:p>
        </w:tc>
        <w:tc>
          <w:tcPr>
            <w:tcW w:type="dxa" w:w="2076"/>
          </w:tcPr>
          <w:p>
            <w:pPr>
              <w:pStyle w:val="null5"/>
              <w:jc w:val="left"/>
            </w:pPr>
            <w:r>
              <w:rPr>
                <w:rFonts w:ascii="仿宋_GB2312" w:hAnsi="仿宋_GB2312" w:cs="仿宋_GB2312" w:eastAsia="仿宋_GB2312"/>
              </w:rPr>
              <w:t>细胞通讯分析。</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3.7</w:t>
            </w:r>
          </w:p>
        </w:tc>
        <w:tc>
          <w:tcPr>
            <w:tcW w:type="dxa" w:w="2076"/>
          </w:tcPr>
          <w:p>
            <w:pPr>
              <w:pStyle w:val="null5"/>
              <w:jc w:val="left"/>
            </w:pPr>
            <w:r>
              <w:rPr>
                <w:rFonts w:ascii="仿宋_GB2312" w:hAnsi="仿宋_GB2312" w:cs="仿宋_GB2312" w:eastAsia="仿宋_GB2312"/>
              </w:rPr>
              <w:t>功能预测分析。</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3.8</w:t>
            </w:r>
          </w:p>
        </w:tc>
        <w:tc>
          <w:tcPr>
            <w:tcW w:type="dxa" w:w="2076"/>
          </w:tcPr>
          <w:p>
            <w:pPr>
              <w:pStyle w:val="null5"/>
              <w:jc w:val="left"/>
            </w:pPr>
            <w:r>
              <w:rPr>
                <w:rFonts w:ascii="仿宋_GB2312" w:hAnsi="仿宋_GB2312" w:cs="仿宋_GB2312" w:eastAsia="仿宋_GB2312"/>
              </w:rPr>
              <w:t>细胞区域构成分析。</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3.9</w:t>
            </w:r>
          </w:p>
        </w:tc>
        <w:tc>
          <w:tcPr>
            <w:tcW w:type="dxa" w:w="2076"/>
          </w:tcPr>
          <w:p>
            <w:pPr>
              <w:pStyle w:val="null5"/>
              <w:jc w:val="left"/>
            </w:pPr>
            <w:r>
              <w:rPr>
                <w:rFonts w:ascii="仿宋_GB2312" w:hAnsi="仿宋_GB2312" w:cs="仿宋_GB2312" w:eastAsia="仿宋_GB2312"/>
              </w:rPr>
              <w:t>空间表达的3D重建。</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空间分辨率数据增强。</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（三）单分子RNA原位检测及分析</w:t>
            </w:r>
          </w:p>
        </w:tc>
        <w:tc>
          <w:tcPr>
            <w:tcW w:type="dxa" w:w="2076"/>
          </w:tcPr>
          <w:p>
            <w:pPr>
              <w:pStyle w:val="null5"/>
              <w:jc w:val="left"/>
            </w:pPr>
            <w:r>
              <w:rPr>
                <w:rFonts w:ascii="仿宋_GB2312" w:hAnsi="仿宋_GB2312" w:cs="仿宋_GB2312" w:eastAsia="仿宋_GB2312"/>
              </w:rPr>
              <w:t>300个定制靶标，16例</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交付ISS单分子RNA原位检测分析原始数据及分析结果。</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原位检测实验参数要求：</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RNA靶标探针定制：同一张玻片300≤靶标数量，玻片实验面积≥10mm*10mm。</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靶标探针设计合成：基于锁式探针技术，针对每个靶标基因的特异性区域，设计5-10对探针，并加入10位碱基的条形码（barcode）用于基因识别。</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RNA质控：对组织切片，使用阴阳对照探针进行原位杂交（阳性探针UBC，PPIb，阴性探针dapB），显微镜荧光成像统计阴阳探针信号综合评分，判断样本RNA质量是否符合正式实验要求。并出具质检报告。</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单分子RNA空间原位检测：首先将检测探针与样本内mRNA或非编码RNA进行杂交，并进行荧光拍照成像，数据采集分析，根据barcode解码出对应靶标基因，并由分析程序生成所有待测基因的最终合成图。</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数据分析需包含以下所有内容:</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基本分析。</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3.1.1</w:t>
            </w:r>
          </w:p>
        </w:tc>
        <w:tc>
          <w:tcPr>
            <w:tcW w:type="dxa" w:w="2076"/>
          </w:tcPr>
          <w:p>
            <w:pPr>
              <w:pStyle w:val="null5"/>
              <w:jc w:val="left"/>
            </w:pPr>
            <w:r>
              <w:rPr>
                <w:rFonts w:ascii="仿宋_GB2312" w:hAnsi="仿宋_GB2312" w:cs="仿宋_GB2312" w:eastAsia="仿宋_GB2312"/>
              </w:rPr>
              <w:t>图像预处理，配准对齐图像，光斑检出，信号点解码。</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3.1.2</w:t>
            </w:r>
          </w:p>
        </w:tc>
        <w:tc>
          <w:tcPr>
            <w:tcW w:type="dxa" w:w="2076"/>
          </w:tcPr>
          <w:p>
            <w:pPr>
              <w:pStyle w:val="null5"/>
              <w:jc w:val="left"/>
            </w:pPr>
            <w:r>
              <w:rPr>
                <w:rFonts w:ascii="仿宋_GB2312" w:hAnsi="仿宋_GB2312" w:cs="仿宋_GB2312" w:eastAsia="仿宋_GB2312"/>
              </w:rPr>
              <w:t>基因数量统计图表。</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3.1.3</w:t>
            </w:r>
          </w:p>
        </w:tc>
        <w:tc>
          <w:tcPr>
            <w:tcW w:type="dxa" w:w="2076"/>
          </w:tcPr>
          <w:p>
            <w:pPr>
              <w:pStyle w:val="null5"/>
              <w:jc w:val="left"/>
            </w:pPr>
            <w:r>
              <w:rPr>
                <w:rFonts w:ascii="仿宋_GB2312" w:hAnsi="仿宋_GB2312" w:cs="仿宋_GB2312" w:eastAsia="仿宋_GB2312"/>
              </w:rPr>
              <w:t>绘制RNA空间分布图，并提供RNA坐标文件。</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3.1.4</w:t>
            </w:r>
          </w:p>
        </w:tc>
        <w:tc>
          <w:tcPr>
            <w:tcW w:type="dxa" w:w="2076"/>
          </w:tcPr>
          <w:p>
            <w:pPr>
              <w:pStyle w:val="null5"/>
              <w:jc w:val="left"/>
            </w:pPr>
            <w:r>
              <w:rPr>
                <w:rFonts w:ascii="仿宋_GB2312" w:hAnsi="仿宋_GB2312" w:cs="仿宋_GB2312" w:eastAsia="仿宋_GB2312"/>
              </w:rPr>
              <w:t>确定细胞边界，并将信号点赋予细胞，生成并提供细胞质心坐标、gene-cell-Space 对应信息、表达矩阵，及细胞分割后的基因分布图。</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3.1.5</w:t>
            </w:r>
          </w:p>
        </w:tc>
        <w:tc>
          <w:tcPr>
            <w:tcW w:type="dxa" w:w="2076"/>
          </w:tcPr>
          <w:p>
            <w:pPr>
              <w:pStyle w:val="null5"/>
              <w:jc w:val="left"/>
            </w:pPr>
            <w:r>
              <w:rPr>
                <w:rFonts w:ascii="仿宋_GB2312" w:hAnsi="仿宋_GB2312" w:cs="仿宋_GB2312" w:eastAsia="仿宋_GB2312"/>
              </w:rPr>
              <w:t>提供网页报告、InsituFocus 可视化文件。</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高级分析：</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3.2.1降维聚类</w:t>
            </w:r>
          </w:p>
        </w:tc>
        <w:tc>
          <w:tcPr>
            <w:tcW w:type="dxa" w:w="2076"/>
          </w:tcPr>
          <w:p>
            <w:pPr>
              <w:pStyle w:val="null5"/>
              <w:jc w:val="left"/>
            </w:pPr>
            <w:r>
              <w:rPr>
                <w:rFonts w:ascii="仿宋_GB2312" w:hAnsi="仿宋_GB2312" w:cs="仿宋_GB2312" w:eastAsia="仿宋_GB2312"/>
              </w:rPr>
              <w:t>根据表达矩阵，采用Leiden算法对细胞进行聚类分析，生成Cluster；采用 UMAP降维算法，在二维空间上展示细胞的分布情况，同一cluster的细胞用相同颜色表示。</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3.2.2细胞类型注释</w:t>
            </w:r>
          </w:p>
        </w:tc>
        <w:tc>
          <w:tcPr>
            <w:tcW w:type="dxa" w:w="2076"/>
          </w:tcPr>
          <w:p>
            <w:pPr>
              <w:pStyle w:val="null5"/>
              <w:jc w:val="left"/>
            </w:pPr>
            <w:r>
              <w:rPr>
                <w:rFonts w:ascii="仿宋_GB2312" w:hAnsi="仿宋_GB2312" w:cs="仿宋_GB2312" w:eastAsia="仿宋_GB2312"/>
              </w:rPr>
              <w:t>根据不同celltype对应marker集与细胞核质心的距离得分对每个细胞进行类型注释。</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3.2.3空间统计</w:t>
            </w:r>
          </w:p>
        </w:tc>
        <w:tc>
          <w:tcPr>
            <w:tcW w:type="dxa" w:w="2076"/>
          </w:tcPr>
          <w:p>
            <w:pPr>
              <w:pStyle w:val="null5"/>
              <w:jc w:val="left"/>
            </w:pPr>
            <w:r>
              <w:rPr>
                <w:rFonts w:ascii="仿宋_GB2312" w:hAnsi="仿宋_GB2312" w:cs="仿宋_GB2312" w:eastAsia="仿宋_GB2312"/>
              </w:rPr>
              <w:t>评估基因空间分布模式：随机、分散、或聚集；基因共定位分析；空间共表达模式（spatial co-expression patterns）；邻里富集分析（Neighborhood Enrichment）；邻里相互作用分析(interaction changed genes (ICGs))；伪空间分析（ Pseudo space analysis）；细胞相关性分析（Cell-Cell Correlation）；细胞/基因核密度梯度变化分析（Gradient analysis）；细胞共线率分析（Cell Co-occurrence ratio）。</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3.2.4细胞通讯分析</w:t>
            </w:r>
          </w:p>
        </w:tc>
        <w:tc>
          <w:tcPr>
            <w:tcW w:type="dxa" w:w="2076"/>
          </w:tcPr>
          <w:p>
            <w:pPr>
              <w:pStyle w:val="null5"/>
              <w:jc w:val="left"/>
            </w:pPr>
            <w:r>
              <w:rPr>
                <w:rFonts w:ascii="仿宋_GB2312" w:hAnsi="仿宋_GB2312" w:cs="仿宋_GB2312" w:eastAsia="仿宋_GB2312"/>
              </w:rPr>
              <w:t>通过计算来自两种细胞类型受配体基因对的空间共表达，估计哪些配体-受体对可能更多（或更少），用于了解细胞类型的相互作用。</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应商需拥有专业的实验室和分析团队，指定专门负责人与采购人对接，可实现采购人的相关的个性化分析需求。负责人不得随意更换，如需更换须经采购人同意。供应商实验室应具有与能实现本项目目标的配套分析检测设备，确保项目的顺利开展。</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成交供应商通过移动硬盘的数据交付（硬盘用户留存。自提交成果文件之日起1年内，如采购人需要，供应商需对相关数据进行详细释疑。</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成交供应商检测完成后1年内，针对采购人需求提供技术服务，并解答实验与分析过程中的技术问题。</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成交供应商接到采购人通知后并确认时间后，于工作日上门取样，工作日期间技术咨询和售后服务响应时间≤12小时。</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成交供应商需具有专门技术人员提供上门或线上解读和指导后期数据筛选，供应商应独立完成实验及数据分析，不允许分包或转包。</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成交供应商应保证分析中的所有数据和结果的真实性，如有造假行为，采购人有权解除合同并追究相关责任。</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所有形成的数据与成果归采购人所有，成交供应商具有保密的义务，如与本次服务相关的数据出现泄密情形，采购人有权解除合同并追究相关责任。</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如成交供应商中途退出，应提前告知采购人，采购人有权根据项目开展情况追回相关损失。</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9</w:t>
            </w:r>
          </w:p>
        </w:tc>
        <w:tc>
          <w:tcPr>
            <w:tcW w:type="dxa" w:w="3115"/>
          </w:tcPr>
          <w:p>
            <w:pPr>
              <w:pStyle w:val="null5"/>
              <w:jc w:val="left"/>
            </w:pPr>
            <w:r>
              <w:rPr>
                <w:rFonts w:ascii="仿宋_GB2312" w:hAnsi="仿宋_GB2312" w:cs="仿宋_GB2312" w:eastAsia="仿宋_GB2312"/>
              </w:rPr>
              <w:t>供应商应针对本项目实际需求在响应文件中提供对本项目的理解与认识包括项目特点、项目需求分析、项目重难点分析三项内容。</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10</w:t>
            </w:r>
          </w:p>
        </w:tc>
        <w:tc>
          <w:tcPr>
            <w:tcW w:type="dxa" w:w="3115"/>
          </w:tcPr>
          <w:p>
            <w:pPr>
              <w:pStyle w:val="null5"/>
              <w:jc w:val="left"/>
            </w:pPr>
            <w:r>
              <w:rPr>
                <w:rFonts w:ascii="仿宋_GB2312" w:hAnsi="仿宋_GB2312" w:cs="仿宋_GB2312" w:eastAsia="仿宋_GB2312"/>
              </w:rPr>
              <w:t>供应商应提供详实的服务方案，包括（1）测试服务流程、标准及依据；（2）测试过程质量控制标准及保障措施（3）样品运输、保存及销毁方案；（4）测试后的数据质量控制及传输；（5）测试程序规范性保证措施；（6）测试数据管理及保密方案；（6）测试文件交付保障方案；（7）客户回访服务七项内容。</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11</w:t>
            </w:r>
          </w:p>
        </w:tc>
        <w:tc>
          <w:tcPr>
            <w:tcW w:type="dxa" w:w="3115"/>
          </w:tcPr>
          <w:p>
            <w:pPr>
              <w:pStyle w:val="null5"/>
              <w:jc w:val="left"/>
            </w:pPr>
            <w:r>
              <w:rPr>
                <w:rFonts w:ascii="仿宋_GB2312" w:hAnsi="仿宋_GB2312" w:cs="仿宋_GB2312" w:eastAsia="仿宋_GB2312"/>
              </w:rPr>
              <w:t>供应商应提供相关的应急预案，确保出现紧急情况能快速处理。</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12</w:t>
            </w:r>
          </w:p>
        </w:tc>
        <w:tc>
          <w:tcPr>
            <w:tcW w:type="dxa" w:w="3115"/>
          </w:tcPr>
          <w:p>
            <w:pPr>
              <w:pStyle w:val="null5"/>
              <w:jc w:val="left"/>
            </w:pPr>
            <w:r>
              <w:rPr>
                <w:rFonts w:ascii="仿宋_GB2312" w:hAnsi="仿宋_GB2312" w:cs="仿宋_GB2312" w:eastAsia="仿宋_GB2312"/>
              </w:rPr>
              <w:t>供应商应提供团队配备情况，提供相应的证书及分工，供应商应具有相应的管理季度，包括内部岗位责任制度、管理运作制度、管理人员考核制度及标准、设备管理规范等内容，并提供设备设施、物资投入情况。</w:t>
            </w:r>
          </w:p>
        </w:tc>
        <w:tc>
          <w:tcPr>
            <w:tcW w:type="dxa" w:w="4153"/>
          </w:tcPr>
          <w:p>
            <w:pPr>
              <w:pStyle w:val="null5"/>
              <w:jc w:val="left"/>
            </w:pPr>
            <w:r>
              <w:rPr>
                <w:rFonts w:ascii="仿宋_GB2312" w:hAnsi="仿宋_GB2312" w:cs="仿宋_GB2312" w:eastAsia="仿宋_GB2312"/>
              </w:rPr>
              <w:t>无</w:t>
            </w:r>
          </w:p>
        </w:tc>
      </w:tr>
      <w:tr>
        <w:tc>
          <w:tcPr>
            <w:tcW w:type="dxa" w:w="1038"/>
          </w:tcPr>
          <w:p>
            <w:pPr>
              <w:pStyle w:val="null5"/>
              <w:jc w:val="left"/>
            </w:pPr>
            <w:r>
              <w:rPr>
                <w:rFonts w:ascii="仿宋_GB2312" w:hAnsi="仿宋_GB2312" w:cs="仿宋_GB2312" w:eastAsia="仿宋_GB2312"/>
              </w:rPr>
              <w:t>13</w:t>
            </w:r>
          </w:p>
        </w:tc>
        <w:tc>
          <w:tcPr>
            <w:tcW w:type="dxa" w:w="3115"/>
          </w:tcPr>
          <w:p>
            <w:pPr>
              <w:pStyle w:val="null5"/>
              <w:jc w:val="left"/>
            </w:pPr>
            <w:r>
              <w:rPr>
                <w:rFonts w:ascii="仿宋_GB2312" w:hAnsi="仿宋_GB2312" w:cs="仿宋_GB2312" w:eastAsia="仿宋_GB2312"/>
              </w:rPr>
              <w:t>供应商应提供人员培训方案，包括培训内容全面、培训师资、培训时长和次数、培训方法四项内容。</w:t>
            </w:r>
          </w:p>
        </w:tc>
        <w:tc>
          <w:tcPr>
            <w:tcW w:type="dxa" w:w="4153"/>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1、在合同签订生效且具备实施条件后，成交供应商向项目负责人或指定人申请预付款，达到付款条件起10日，支付合同总金额的30.00%</w:t>
            </w:r>
          </w:p>
          <w:p>
            <w:pPr>
              <w:pStyle w:val="null5"/>
              <w:jc w:val="left"/>
            </w:pPr>
            <w:r>
              <w:rPr>
                <w:rFonts w:ascii="仿宋_GB2312" w:hAnsi="仿宋_GB2312" w:cs="仿宋_GB2312" w:eastAsia="仿宋_GB2312"/>
              </w:rPr>
              <w:t>2、项目验收合格后，达到付款条件起10日，支付合同总金额的70.00%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缴纳比例：银行转账，支票/汇票/本票，保函/保险</w:t>
            </w:r>
          </w:p>
          <w:p>
            <w:pPr>
              <w:pStyle w:val="null5"/>
              <w:jc w:val="left"/>
            </w:pPr>
            <w:r>
              <w:rPr>
                <w:rFonts w:ascii="仿宋_GB2312" w:hAnsi="仿宋_GB2312" w:cs="仿宋_GB2312" w:eastAsia="仿宋_GB2312"/>
              </w:rPr>
              <w:t>缴纳方式：5</w:t>
            </w:r>
          </w:p>
          <w:p>
            <w:pPr>
              <w:pStyle w:val="null5"/>
              <w:jc w:val="left"/>
            </w:pPr>
            <w:r>
              <w:rPr>
                <w:rFonts w:ascii="仿宋_GB2312" w:hAnsi="仿宋_GB2312" w:cs="仿宋_GB2312" w:eastAsia="仿宋_GB2312"/>
              </w:rPr>
              <w:t>缴纳说明：1、各供应商应在商务应答表中确认履约保证金的缴纳方式，请在银行转账与汇票两种方式中任选一种。2、若成交供应商为中小企业，履约保证金为合同金额的2%。3、项目验收前，成交供应商应将所有合同项下所有服务内容完成，并经采购人审核通过，否则采购人有权拒绝验收，由此造成的法律责任、各种损失由成交供应商承担。4、履约保证金在服务验收合格，没有任何质量问题后，由供应商向采购人提交申请，采购人按相关规定无息退还给供应商。5、履约保证金缴纳信息：开户单位：山东第一医科大学；开户银行：中国农业银行股份有限公司济南槐荫支行；账号：15126101040096666；大额支付行号：103451012615。</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1"/>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人以上单数，其中评审专家不得少于成员总数的三分之二。采购预算金额达到公开招标数额标准的货物和服务采购项目，或者达到招标规模标准的政府采购工程，磋商小组成员人数应为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营业执照等证明文件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tc>
        <w:tc>
          <w:tcPr>
            <w:tcW w:type="dxa" w:w="1661"/>
          </w:tcPr>
          <w:p>
            <w:pPr>
              <w:pStyle w:val="null5"/>
              <w:jc w:val="left"/>
            </w:pPr>
            <w:r>
              <w:rPr>
                <w:rFonts w:ascii="仿宋_GB2312" w:hAnsi="仿宋_GB2312" w:cs="仿宋_GB2312" w:eastAsia="仿宋_GB2312"/>
              </w:rPr>
              <w:t>具有良好的商业信誉和健全的财务会计制度信用承诺函或相关证明材料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供应商须具有履行合同所必需的设备和专业技术能力，须附信用承诺函或相关证明材料。</w:t>
            </w:r>
          </w:p>
        </w:tc>
        <w:tc>
          <w:tcPr>
            <w:tcW w:type="dxa" w:w="1661"/>
          </w:tcPr>
          <w:p>
            <w:pPr>
              <w:pStyle w:val="null5"/>
              <w:jc w:val="left"/>
            </w:pPr>
            <w:r>
              <w:rPr>
                <w:rFonts w:ascii="仿宋_GB2312" w:hAnsi="仿宋_GB2312" w:cs="仿宋_GB2312" w:eastAsia="仿宋_GB2312"/>
              </w:rPr>
              <w:t>具有履行合同所必需的设备和专业技术能力承诺函或证明材料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 缴纳税收的证明材料，应提供首次响应文件递交截止时间前三个月内任意一个月的依法缴税凭据； 缴纳社会保障资金的证明材料，应提供首次响应文件递交截止时间前三个月内任意一个月的缴纳社会保险的凭据； 注：依法免税或不需要缴纳社会保障资金的供应商，须提供相应文件证明其依法免税或不需要缴纳社会保障资金。</w:t>
            </w:r>
          </w:p>
        </w:tc>
        <w:tc>
          <w:tcPr>
            <w:tcW w:type="dxa" w:w="1661"/>
          </w:tcPr>
          <w:p>
            <w:pPr>
              <w:pStyle w:val="null5"/>
              <w:jc w:val="left"/>
            </w:pPr>
            <w:r>
              <w:rPr>
                <w:rFonts w:ascii="仿宋_GB2312" w:hAnsi="仿宋_GB2312" w:cs="仿宋_GB2312" w:eastAsia="仿宋_GB2312"/>
              </w:rPr>
              <w:t>依法缴纳税收和社会保障资金承诺函或证明材料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tc>
        <w:tc>
          <w:tcPr>
            <w:tcW w:type="dxa" w:w="1661"/>
          </w:tcPr>
          <w:p>
            <w:pPr>
              <w:pStyle w:val="null5"/>
              <w:jc w:val="left"/>
            </w:pPr>
            <w:r>
              <w:rPr>
                <w:rFonts w:ascii="仿宋_GB2312" w:hAnsi="仿宋_GB2312" w:cs="仿宋_GB2312" w:eastAsia="仿宋_GB2312"/>
              </w:rPr>
              <w:t>无重大违法记录的书面声明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信用查询是否存在不良记录</w:t>
            </w:r>
          </w:p>
        </w:tc>
        <w:tc>
          <w:tcPr>
            <w:tcW w:type="dxa" w:w="332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1661"/>
          </w:tcPr>
          <w:p>
            <w:pPr>
              <w:pStyle w:val="null5"/>
              <w:jc w:val="left"/>
            </w:pPr>
            <w:r>
              <w:rPr>
                <w:rFonts w:ascii="仿宋_GB2312" w:hAnsi="仿宋_GB2312" w:cs="仿宋_GB2312" w:eastAsia="仿宋_GB2312"/>
              </w:rPr>
              <w:t>信用查询截图</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单位负责人是否为同一人或者存在直接控股、管理关系</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单位负责人为同一人或者存在直接控股、管理关系的不同供应商，不得参加同一包的报价或者未划分包的同一项目的报价，供应商须提供书面声明。</w:t>
            </w:r>
          </w:p>
        </w:tc>
        <w:tc>
          <w:tcPr>
            <w:tcW w:type="dxa" w:w="1661"/>
          </w:tcPr>
          <w:p>
            <w:pPr>
              <w:pStyle w:val="null5"/>
              <w:jc w:val="left"/>
            </w:pPr>
            <w:r>
              <w:rPr>
                <w:rFonts w:ascii="仿宋_GB2312" w:hAnsi="仿宋_GB2312" w:cs="仿宋_GB2312" w:eastAsia="仿宋_GB2312"/>
              </w:rPr>
              <w:t>不存在关联关系书面声明</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投标人承诺函、符合性审查文件、自觉抵制政府采购领域商业贿赂行为承诺书、封面、法定代表人资格证明书或法定代表人授权委托书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响应文件满足磋商文件中★号条款要求的。</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不存在以他人名义报价或者在响应文件中提供虚假材料的</w:t>
            </w:r>
          </w:p>
        </w:tc>
        <w:tc>
          <w:tcPr>
            <w:tcW w:type="dxa" w:w="3322"/>
          </w:tcPr>
          <w:p>
            <w:pPr>
              <w:pStyle w:val="null5"/>
              <w:jc w:val="left"/>
            </w:pPr>
            <w:r>
              <w:rPr>
                <w:rFonts w:ascii="仿宋_GB2312" w:hAnsi="仿宋_GB2312" w:cs="仿宋_GB2312" w:eastAsia="仿宋_GB2312"/>
              </w:rPr>
              <w:t>不存在以他人名义报价或者在响应文件中提供虚假材料的。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响应文件中不含有采购人不能接受的附加条件的。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被授权人社保证明材料</w:t>
            </w:r>
          </w:p>
        </w:tc>
        <w:tc>
          <w:tcPr>
            <w:tcW w:type="dxa" w:w="3322"/>
          </w:tcPr>
          <w:p>
            <w:pPr>
              <w:pStyle w:val="null5"/>
              <w:jc w:val="left"/>
            </w:pPr>
            <w:r>
              <w:rPr>
                <w:rFonts w:ascii="仿宋_GB2312" w:hAnsi="仿宋_GB2312" w:cs="仿宋_GB2312" w:eastAsia="仿宋_GB2312"/>
              </w:rPr>
              <w:t>非法定代表人参加磋商的，提供被授权人在本单位缴纳社保证明（响应文件提交截止时间前连续3个月，加盖本单位公章）</w:t>
            </w:r>
          </w:p>
        </w:tc>
        <w:tc>
          <w:tcPr>
            <w:tcW w:type="dxa" w:w="1661"/>
          </w:tcPr>
          <w:p>
            <w:pPr>
              <w:pStyle w:val="null5"/>
              <w:jc w:val="left"/>
            </w:pPr>
            <w:r>
              <w:rPr>
                <w:rFonts w:ascii="仿宋_GB2312" w:hAnsi="仿宋_GB2312" w:cs="仿宋_GB2312" w:eastAsia="仿宋_GB2312"/>
              </w:rPr>
              <w:t>被授权人社保证明材料</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六、在评审过程中，出现下列情形之一的，评审委员会应当启动异常低价投标（响应）审查程序：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采购人可以结合具体项目实际情况，提高上述第1项至第3项中启动异常低价投标(响应)审查的数值标准，但是最高不得超过65%。</w:t>
      </w:r>
    </w:p>
    <w:p>
      <w:pPr>
        <w:pStyle w:val="null5"/>
        <w:ind w:firstLine="480"/>
        <w:jc w:val="left"/>
      </w:pPr>
      <w:r>
        <w:rPr>
          <w:rFonts w:ascii="仿宋_GB2312" w:hAnsi="仿宋_GB2312" w:cs="仿宋_GB2312" w:eastAsia="仿宋_GB2312"/>
        </w:rPr>
        <w:t>相关法律法规对供应商报价有规定的，从其规定。</w:t>
      </w:r>
    </w:p>
    <w:p>
      <w:pPr>
        <w:pStyle w:val="null5"/>
        <w:ind w:firstLine="480"/>
        <w:jc w:val="left"/>
      </w:pPr>
      <w:r>
        <w:rPr>
          <w:rFonts w:ascii="仿宋_GB2312" w:hAnsi="仿宋_GB2312" w:cs="仿宋_GB2312" w:eastAsia="仿宋_GB2312"/>
        </w:rPr>
        <w:t>七、评审委员会启动异常低价投标（响应）审查后，属于5.3.6中第六条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技术要求响应评价</w:t>
            </w:r>
          </w:p>
        </w:tc>
        <w:tc>
          <w:tcPr>
            <w:tcW w:type="dxa" w:w="2575"/>
          </w:tcPr>
          <w:p>
            <w:pPr>
              <w:pStyle w:val="null5"/>
            </w:pPr>
            <w:r>
              <w:rPr>
                <w:rFonts w:ascii="仿宋_GB2312" w:hAnsi="仿宋_GB2312" w:cs="仿宋_GB2312" w:eastAsia="仿宋_GB2312"/>
              </w:rPr>
              <w:t>完全满足采购文件技术要求得满分24分，每存在一条带“▲”的重要技术参数负偏离扣2分，每存在一条不带标识的一般技术要求负偏离扣1分，扣完为止；如果一条中有多项指标出现偏离，只计算一次。</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对本项目的理解与认识</w:t>
            </w:r>
          </w:p>
        </w:tc>
        <w:tc>
          <w:tcPr>
            <w:tcW w:type="dxa" w:w="2575"/>
          </w:tcPr>
          <w:p>
            <w:pPr>
              <w:pStyle w:val="null5"/>
            </w:pPr>
            <w:r>
              <w:rPr>
                <w:rFonts w:ascii="仿宋_GB2312" w:hAnsi="仿宋_GB2312" w:cs="仿宋_GB2312" w:eastAsia="仿宋_GB2312"/>
              </w:rPr>
              <w:t>磋商小组根据供应商对本项目的理解与认识进行评审，包括：（1）项目特点；（2）项目需求分析；（3）项目重点、难点分析。上述每项内容满分3分，本项满分9分。每项内容全面、合理、针对性强的，得3分；每存在一处瑕疵扣1分，扣完为止，缺项该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对本项目的理解与认识</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磋商小组根据供应商提供的服务方案进行综合评审，包括：（1）测试服务流程、标准及依据；（2）测试过程质量控制标准及保障措施（3）样品运输、保存及销毁方案；（4）测试后的数据质量控制及传输；（5）测试程序规范性保证措施；（6）测试数据管理及保密方案；（6）测试文件交付保障方案；（7）客户回访服务。上述每项内容满分4分，本项满分28分。每项内容全面、合理、可行性及针对性强的，得4分；每存在一处瑕疵扣1分，扣完为止，缺项该项不得分。</w:t>
            </w:r>
          </w:p>
        </w:tc>
        <w:tc>
          <w:tcPr>
            <w:tcW w:type="dxa" w:w="831"/>
          </w:tcPr>
          <w:p>
            <w:pPr>
              <w:pStyle w:val="null5"/>
              <w:jc w:val="center"/>
            </w:pPr>
            <w:r>
              <w:rPr>
                <w:rFonts w:ascii="仿宋_GB2312" w:hAnsi="仿宋_GB2312" w:cs="仿宋_GB2312" w:eastAsia="仿宋_GB2312"/>
              </w:rPr>
              <w:t>28.0000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p>
            <w:pPr>
              <w:pStyle w:val="null5"/>
            </w:pPr>
            <w:r>
              <w:rPr>
                <w:rFonts w:ascii="仿宋_GB2312" w:hAnsi="仿宋_GB2312" w:cs="仿宋_GB2312" w:eastAsia="仿宋_GB2312"/>
              </w:rPr>
              <w:t>服务要求及其他要求响应一览表</w:t>
            </w:r>
          </w:p>
        </w:tc>
      </w:tr>
      <w:tr>
        <w:tc>
          <w:tcPr>
            <w:tcW w:type="dxa" w:w="831"/>
            <w:vMerge/>
          </w:tcPr>
          <w:p/>
        </w:tc>
        <w:tc>
          <w:tcPr>
            <w:tcW w:type="dxa" w:w="1661"/>
          </w:tcPr>
          <w:p>
            <w:pPr>
              <w:pStyle w:val="null5"/>
            </w:pPr>
            <w:r>
              <w:rPr>
                <w:rFonts w:ascii="仿宋_GB2312" w:hAnsi="仿宋_GB2312" w:cs="仿宋_GB2312" w:eastAsia="仿宋_GB2312"/>
              </w:rPr>
              <w:t>应急预案</w:t>
            </w:r>
          </w:p>
        </w:tc>
        <w:tc>
          <w:tcPr>
            <w:tcW w:type="dxa" w:w="2575"/>
          </w:tcPr>
          <w:p>
            <w:pPr>
              <w:pStyle w:val="null5"/>
            </w:pPr>
            <w:r>
              <w:rPr>
                <w:rFonts w:ascii="仿宋_GB2312" w:hAnsi="仿宋_GB2312" w:cs="仿宋_GB2312" w:eastAsia="仿宋_GB2312"/>
              </w:rPr>
              <w:t>根据供应商提供的应急预案进行综合评审：内容全面、合理、可行性及针对性强的，得4分；每存在一处瑕疵扣1分，扣完为止，缺项该项不得分。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应急预案</w:t>
            </w:r>
          </w:p>
        </w:tc>
      </w:tr>
      <w:tr>
        <w:tc>
          <w:tcPr>
            <w:tcW w:type="dxa" w:w="831"/>
            <w:vMerge/>
          </w:tcPr>
          <w:p/>
        </w:tc>
        <w:tc>
          <w:tcPr>
            <w:tcW w:type="dxa" w:w="1661"/>
          </w:tcPr>
          <w:p>
            <w:pPr>
              <w:pStyle w:val="null5"/>
            </w:pPr>
            <w:r>
              <w:rPr>
                <w:rFonts w:ascii="仿宋_GB2312" w:hAnsi="仿宋_GB2312" w:cs="仿宋_GB2312" w:eastAsia="仿宋_GB2312"/>
              </w:rPr>
              <w:t>内部管理制度</w:t>
            </w:r>
          </w:p>
        </w:tc>
        <w:tc>
          <w:tcPr>
            <w:tcW w:type="dxa" w:w="2575"/>
          </w:tcPr>
          <w:p>
            <w:pPr>
              <w:pStyle w:val="null5"/>
            </w:pPr>
            <w:r>
              <w:rPr>
                <w:rFonts w:ascii="仿宋_GB2312" w:hAnsi="仿宋_GB2312" w:cs="仿宋_GB2312" w:eastAsia="仿宋_GB2312"/>
              </w:rPr>
              <w:t>根据供应商提供的管理制度进行综合评审：包括内部岗位责任制度、管理运作制度、考核制度及标准、设备管理规范四项内容，每项内容满分1分，本项满分4分。每项内容每存在一处不合理、不足扣0.5分，扣完为止，缺项该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内部管理制度</w:t>
            </w:r>
          </w:p>
        </w:tc>
      </w:tr>
      <w:tr>
        <w:tc>
          <w:tcPr>
            <w:tcW w:type="dxa" w:w="831"/>
            <w:vMerge/>
          </w:tcPr>
          <w:p/>
        </w:tc>
        <w:tc>
          <w:tcPr>
            <w:tcW w:type="dxa" w:w="1661"/>
          </w:tcPr>
          <w:p>
            <w:pPr>
              <w:pStyle w:val="null5"/>
            </w:pPr>
            <w:r>
              <w:rPr>
                <w:rFonts w:ascii="仿宋_GB2312" w:hAnsi="仿宋_GB2312" w:cs="仿宋_GB2312" w:eastAsia="仿宋_GB2312"/>
              </w:rPr>
              <w:t>团队配备情况</w:t>
            </w:r>
          </w:p>
        </w:tc>
        <w:tc>
          <w:tcPr>
            <w:tcW w:type="dxa" w:w="2575"/>
          </w:tcPr>
          <w:p>
            <w:pPr>
              <w:pStyle w:val="null5"/>
            </w:pPr>
            <w:r>
              <w:rPr>
                <w:rFonts w:ascii="仿宋_GB2312" w:hAnsi="仿宋_GB2312" w:cs="仿宋_GB2312" w:eastAsia="仿宋_GB2312"/>
              </w:rPr>
              <w:t>对服务团队的人员分工、专业分布、经验三项内容进行综合评审：每项内容满分3分，本项满分9分。每项内容全面、合理、针对性强的，得3分；每存在一处瑕疵扣1分，扣完为止，缺项该项不得分。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项目拟投入人员情况一览表</w:t>
            </w:r>
          </w:p>
        </w:tc>
      </w:tr>
      <w:tr>
        <w:tc>
          <w:tcPr>
            <w:tcW w:type="dxa" w:w="831"/>
            <w:vMerge/>
          </w:tcPr>
          <w:p/>
        </w:tc>
        <w:tc>
          <w:tcPr>
            <w:tcW w:type="dxa" w:w="1661"/>
          </w:tcPr>
          <w:p>
            <w:pPr>
              <w:pStyle w:val="null5"/>
            </w:pPr>
            <w:r>
              <w:rPr>
                <w:rFonts w:ascii="仿宋_GB2312" w:hAnsi="仿宋_GB2312" w:cs="仿宋_GB2312" w:eastAsia="仿宋_GB2312"/>
              </w:rPr>
              <w:t>设备设施、物资投入情况</w:t>
            </w:r>
          </w:p>
        </w:tc>
        <w:tc>
          <w:tcPr>
            <w:tcW w:type="dxa" w:w="2575"/>
          </w:tcPr>
          <w:p>
            <w:pPr>
              <w:pStyle w:val="null5"/>
            </w:pPr>
            <w:r>
              <w:rPr>
                <w:rFonts w:ascii="仿宋_GB2312" w:hAnsi="仿宋_GB2312" w:cs="仿宋_GB2312" w:eastAsia="仿宋_GB2312"/>
              </w:rPr>
              <w:t>供应商针对本项目投入设备设施及物资进行综合评审：设备设施及物资齐全，配备科学、合理、可行，能满足实际需求的，得5分；每存在一处瑕疵扣1分，扣完为止，缺项该项不得分。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设备设施、物资投入情况</w:t>
            </w:r>
          </w:p>
        </w:tc>
      </w:tr>
      <w:tr>
        <w:tc>
          <w:tcPr>
            <w:tcW w:type="dxa" w:w="831"/>
            <w:vMerge/>
          </w:tcPr>
          <w:p/>
        </w:tc>
        <w:tc>
          <w:tcPr>
            <w:tcW w:type="dxa" w:w="1661"/>
          </w:tcPr>
          <w:p>
            <w:pPr>
              <w:pStyle w:val="null5"/>
            </w:pPr>
            <w:r>
              <w:rPr>
                <w:rFonts w:ascii="仿宋_GB2312" w:hAnsi="仿宋_GB2312" w:cs="仿宋_GB2312" w:eastAsia="仿宋_GB2312"/>
              </w:rPr>
              <w:t>人员培训方案</w:t>
            </w:r>
          </w:p>
        </w:tc>
        <w:tc>
          <w:tcPr>
            <w:tcW w:type="dxa" w:w="2575"/>
          </w:tcPr>
          <w:p>
            <w:pPr>
              <w:pStyle w:val="null5"/>
            </w:pPr>
            <w:r>
              <w:rPr>
                <w:rFonts w:ascii="仿宋_GB2312" w:hAnsi="仿宋_GB2312" w:cs="仿宋_GB2312" w:eastAsia="仿宋_GB2312"/>
              </w:rPr>
              <w:t>供应商针对本项目投入人员有具体的培训方案，包括培训内容、培训师资、培训时长和次数、培训方法四项内容进行综合评审：每项内容满分1分，本项满分4分。每项内容每存在一处不合理、不足扣0.5分，扣完为止，缺项该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人员培训方案</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供应商提供2023年4月1日至今（以合同签订时间为准）完成的类似项目业绩，每提供一份合同得1分，满分3分。 注：供应商需提供合同复印件（必须体现服务内容、合同双方签字盖章页等合同关键信息），否则业绩不予认可。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磋商报价得分</w:t>
            </w:r>
          </w:p>
        </w:tc>
        <w:tc>
          <w:tcPr>
            <w:tcW w:type="dxa" w:w="2575"/>
          </w:tcPr>
          <w:p>
            <w:pPr>
              <w:pStyle w:val="null5"/>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分项报价表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开标（报价）一览表、投标（响应）报价明细表、中小企业声明函、残疾人福利性单位声明函、监狱企业的证明文件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详见附件：不存在关联关系书面声明</w:t>
      </w:r>
    </w:p>
    <w:p>
      <w:pPr>
        <w:pStyle w:val="null5"/>
        <w:ind w:firstLine="960"/>
        <w:jc w:val="left"/>
      </w:pPr>
      <w:r>
        <w:rPr>
          <w:rFonts w:ascii="仿宋_GB2312" w:hAnsi="仿宋_GB2312" w:cs="仿宋_GB2312" w:eastAsia="仿宋_GB2312"/>
        </w:rPr>
        <w:t>详见附件：内部管理制度</w:t>
      </w:r>
    </w:p>
    <w:p>
      <w:pPr>
        <w:pStyle w:val="null5"/>
        <w:ind w:firstLine="960"/>
        <w:jc w:val="left"/>
      </w:pPr>
      <w:r>
        <w:rPr>
          <w:rFonts w:ascii="仿宋_GB2312" w:hAnsi="仿宋_GB2312" w:cs="仿宋_GB2312" w:eastAsia="仿宋_GB2312"/>
        </w:rPr>
        <w:t>详见附件：应急预案</w:t>
      </w:r>
    </w:p>
    <w:p>
      <w:pPr>
        <w:pStyle w:val="null5"/>
        <w:ind w:firstLine="960"/>
        <w:jc w:val="left"/>
      </w:pPr>
      <w:r>
        <w:rPr>
          <w:rFonts w:ascii="仿宋_GB2312" w:hAnsi="仿宋_GB2312" w:cs="仿宋_GB2312" w:eastAsia="仿宋_GB2312"/>
        </w:rPr>
        <w:t>详见附件：对本项目的理解与认识</w:t>
      </w:r>
    </w:p>
    <w:p>
      <w:pPr>
        <w:pStyle w:val="null5"/>
        <w:ind w:firstLine="960"/>
        <w:jc w:val="left"/>
      </w:pPr>
      <w:r>
        <w:rPr>
          <w:rFonts w:ascii="仿宋_GB2312" w:hAnsi="仿宋_GB2312" w:cs="仿宋_GB2312" w:eastAsia="仿宋_GB2312"/>
        </w:rPr>
        <w:t>详见附件：营业执照等证明文件</w:t>
      </w:r>
    </w:p>
    <w:p>
      <w:pPr>
        <w:pStyle w:val="null5"/>
        <w:ind w:firstLine="960"/>
        <w:jc w:val="left"/>
      </w:pPr>
      <w:r>
        <w:rPr>
          <w:rFonts w:ascii="仿宋_GB2312" w:hAnsi="仿宋_GB2312" w:cs="仿宋_GB2312" w:eastAsia="仿宋_GB2312"/>
        </w:rPr>
        <w:t>详见附件：依法缴纳税收和社会保障资金承诺函或证明材料</w:t>
      </w:r>
    </w:p>
    <w:p>
      <w:pPr>
        <w:pStyle w:val="null5"/>
        <w:ind w:firstLine="960"/>
        <w:jc w:val="left"/>
      </w:pPr>
      <w:r>
        <w:rPr>
          <w:rFonts w:ascii="仿宋_GB2312" w:hAnsi="仿宋_GB2312" w:cs="仿宋_GB2312" w:eastAsia="仿宋_GB2312"/>
        </w:rPr>
        <w:t>详见附件：信用查询截图</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详见附件：无重大违法记录的书面声明</w:t>
      </w:r>
    </w:p>
    <w:p>
      <w:pPr>
        <w:pStyle w:val="null5"/>
        <w:ind w:firstLine="960"/>
        <w:jc w:val="left"/>
      </w:pPr>
      <w:r>
        <w:rPr>
          <w:rFonts w:ascii="仿宋_GB2312" w:hAnsi="仿宋_GB2312" w:cs="仿宋_GB2312" w:eastAsia="仿宋_GB2312"/>
        </w:rPr>
        <w:t>详见附件：具有履行合同所必需的设备和专业技术能力承诺函或证明材料</w:t>
      </w:r>
    </w:p>
    <w:p>
      <w:pPr>
        <w:pStyle w:val="null5"/>
        <w:ind w:firstLine="960"/>
        <w:jc w:val="left"/>
      </w:pPr>
      <w:r>
        <w:rPr>
          <w:rFonts w:ascii="仿宋_GB2312" w:hAnsi="仿宋_GB2312" w:cs="仿宋_GB2312" w:eastAsia="仿宋_GB2312"/>
        </w:rPr>
        <w:t>详见附件：具有良好的商业信誉和健全的财务会计制度信用承诺函或相关证明材料</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详见附件：服务要求及其他要求响应一览表</w:t>
      </w:r>
    </w:p>
    <w:p>
      <w:pPr>
        <w:pStyle w:val="null5"/>
        <w:ind w:firstLine="960"/>
        <w:jc w:val="left"/>
      </w:pPr>
      <w:r>
        <w:rPr>
          <w:rFonts w:ascii="仿宋_GB2312" w:hAnsi="仿宋_GB2312" w:cs="仿宋_GB2312" w:eastAsia="仿宋_GB2312"/>
        </w:rPr>
        <w:t>详见附件：设备设施、物资投入情况</w:t>
      </w:r>
    </w:p>
    <w:p>
      <w:pPr>
        <w:pStyle w:val="null5"/>
        <w:ind w:firstLine="960"/>
        <w:jc w:val="left"/>
      </w:pPr>
      <w:r>
        <w:rPr>
          <w:rFonts w:ascii="仿宋_GB2312" w:hAnsi="仿宋_GB2312" w:cs="仿宋_GB2312" w:eastAsia="仿宋_GB2312"/>
        </w:rPr>
        <w:t>详见附件：人员培训方案</w:t>
      </w:r>
    </w:p>
    <w:p>
      <w:pPr>
        <w:pStyle w:val="null5"/>
        <w:ind w:firstLine="960"/>
        <w:jc w:val="left"/>
      </w:pPr>
      <w:r>
        <w:rPr>
          <w:rFonts w:ascii="仿宋_GB2312" w:hAnsi="仿宋_GB2312" w:cs="仿宋_GB2312" w:eastAsia="仿宋_GB2312"/>
        </w:rPr>
        <w:t>详见附件：被授权人社保证明材料</w:t>
      </w:r>
    </w:p>
    <w:p>
      <w:pPr>
        <w:pStyle w:val="null5"/>
        <w:ind w:firstLine="960"/>
        <w:jc w:val="left"/>
      </w:pPr>
      <w:r>
        <w:rPr>
          <w:rFonts w:ascii="仿宋_GB2312" w:hAnsi="仿宋_GB2312" w:cs="仿宋_GB2312" w:eastAsia="仿宋_GB2312"/>
        </w:rPr>
        <w:t>详见附件：分项报价表</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SDGP370000000202602002155</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山东第一医科大学（山东省医学科学院）基于多组学检测的卵巢发育调控机制研究技术测试服务</w:t>
      </w:r>
    </w:p>
    <w:p>
      <w:pPr>
        <w:pStyle w:val="null5"/>
        <w:jc w:val="left"/>
      </w:pPr>
      <w:r>
        <w:rPr>
          <w:rFonts w:ascii="仿宋_GB2312" w:hAnsi="仿宋_GB2312" w:cs="仿宋_GB2312" w:eastAsia="仿宋_GB2312"/>
        </w:rPr>
        <w:t>采购包：</w:t>
      </w:r>
      <w:r>
        <w:rPr>
          <w:rFonts w:ascii="仿宋_GB2312" w:hAnsi="仿宋_GB2312" w:cs="仿宋_GB2312" w:eastAsia="仿宋_GB2312"/>
        </w:rPr>
        <w:t>基于多组学检测的卵巢发育调控机制研究技术测试服务</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基于多组学检测的卵巢发育调控机制研究技术测试服务</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基于多组学检测的卵巢发育调控机制研究技术测试服务</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1780000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SDGP370000000202602002155</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山东第一医科大学（山东省医学科学院）基于多组学检测的卵巢发育调控机制研究技术测试服务</w:t>
      </w:r>
    </w:p>
    <w:p>
      <w:pPr>
        <w:pStyle w:val="null5"/>
        <w:jc w:val="left"/>
      </w:pPr>
      <w:r>
        <w:rPr>
          <w:rFonts w:ascii="仿宋_GB2312" w:hAnsi="仿宋_GB2312" w:cs="仿宋_GB2312" w:eastAsia="仿宋_GB2312"/>
        </w:rPr>
        <w:t>采购包：</w:t>
      </w:r>
      <w:r>
        <w:rPr>
          <w:rFonts w:ascii="仿宋_GB2312" w:hAnsi="仿宋_GB2312" w:cs="仿宋_GB2312" w:eastAsia="仿宋_GB2312"/>
        </w:rPr>
        <w:t>基于多组学检测的卵巢发育调控机制研究技术测试服务</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基于多组学检测的卵巢发育调控机制研究技术测试服务</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1780000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详见附件：山东省政府采购合同（服务类）.docx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