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7"/>
        <w:gridCol w:w="1024"/>
        <w:gridCol w:w="6263"/>
      </w:tblGrid>
      <w:tr w14:paraId="57932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14" w:type="dxa"/>
            <w:noWrap w:val="0"/>
            <w:vAlign w:val="center"/>
          </w:tcPr>
          <w:p w14:paraId="35C82B3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/>
              <w:jc w:val="center"/>
              <w:textAlignment w:val="baseline"/>
              <w:rPr>
                <w:vertAlign w:val="baseline"/>
              </w:rPr>
            </w:pPr>
            <w:r>
              <w:rPr>
                <w:spacing w:val="-20"/>
              </w:rPr>
              <w:t>内容</w:t>
            </w:r>
          </w:p>
        </w:tc>
        <w:tc>
          <w:tcPr>
            <w:tcW w:w="717" w:type="dxa"/>
            <w:noWrap w:val="0"/>
            <w:vAlign w:val="center"/>
          </w:tcPr>
          <w:p w14:paraId="0792EFD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/>
              <w:jc w:val="center"/>
              <w:textAlignment w:val="baseline"/>
              <w:rPr>
                <w:vertAlign w:val="baseline"/>
              </w:rPr>
            </w:pPr>
            <w:r>
              <w:rPr>
                <w:spacing w:val="-7"/>
              </w:rPr>
              <w:t>分值</w:t>
            </w:r>
          </w:p>
        </w:tc>
        <w:tc>
          <w:tcPr>
            <w:tcW w:w="1024" w:type="dxa"/>
            <w:noWrap w:val="0"/>
            <w:vAlign w:val="center"/>
          </w:tcPr>
          <w:p w14:paraId="44D783B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rightChars="0"/>
              <w:jc w:val="center"/>
              <w:textAlignment w:val="baseline"/>
              <w:rPr>
                <w:vertAlign w:val="baseline"/>
              </w:rPr>
            </w:pPr>
            <w:r>
              <w:rPr>
                <w:spacing w:val="-3"/>
              </w:rPr>
              <w:t>评分</w:t>
            </w:r>
            <w:r>
              <w:rPr>
                <w:spacing w:val="-7"/>
              </w:rPr>
              <w:t>项</w:t>
            </w:r>
          </w:p>
        </w:tc>
        <w:tc>
          <w:tcPr>
            <w:tcW w:w="6263" w:type="dxa"/>
            <w:noWrap w:val="0"/>
            <w:vAlign w:val="center"/>
          </w:tcPr>
          <w:p w14:paraId="0242E88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textAlignment w:val="baseline"/>
              <w:rPr>
                <w:vertAlign w:val="baseline"/>
              </w:rPr>
            </w:pPr>
            <w:r>
              <w:rPr>
                <w:spacing w:val="-3"/>
              </w:rPr>
              <w:t>评分标准</w:t>
            </w:r>
          </w:p>
        </w:tc>
      </w:tr>
      <w:tr w14:paraId="4A72B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714" w:type="dxa"/>
            <w:noWrap w:val="0"/>
            <w:vAlign w:val="center"/>
          </w:tcPr>
          <w:p w14:paraId="53C557C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/>
              <w:jc w:val="center"/>
              <w:textAlignment w:val="baseline"/>
              <w:rPr>
                <w:spacing w:val="-20"/>
              </w:rPr>
            </w:pPr>
            <w:r>
              <w:rPr>
                <w:spacing w:val="-20"/>
              </w:rPr>
              <w:t>磋商报价</w:t>
            </w:r>
          </w:p>
        </w:tc>
        <w:tc>
          <w:tcPr>
            <w:tcW w:w="717" w:type="dxa"/>
            <w:noWrap w:val="0"/>
            <w:vAlign w:val="center"/>
          </w:tcPr>
          <w:p w14:paraId="6A8BA522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10分</w:t>
            </w:r>
          </w:p>
        </w:tc>
        <w:tc>
          <w:tcPr>
            <w:tcW w:w="1024" w:type="dxa"/>
            <w:noWrap w:val="0"/>
            <w:vAlign w:val="center"/>
          </w:tcPr>
          <w:p w14:paraId="04CE7D22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磋商报价</w:t>
            </w:r>
          </w:p>
        </w:tc>
        <w:tc>
          <w:tcPr>
            <w:tcW w:w="6263" w:type="dxa"/>
            <w:noWrap w:val="0"/>
            <w:vAlign w:val="center"/>
          </w:tcPr>
          <w:p w14:paraId="01132F2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/>
              <w:jc w:val="both"/>
              <w:textAlignment w:val="baseline"/>
              <w:rPr>
                <w:vertAlign w:val="baseline"/>
              </w:rPr>
            </w:pPr>
            <w:r>
              <w:rPr>
                <w:spacing w:val="8"/>
              </w:rPr>
              <w:t>满足磋商文件要求且最后报价最低的供应商的价格为磋商</w:t>
            </w:r>
            <w:r>
              <w:rPr>
                <w:spacing w:val="-2"/>
              </w:rPr>
              <w:t>基准价，其价格分为满分。其他供应商的价格分统一按照下</w:t>
            </w:r>
            <w:r>
              <w:rPr>
                <w:spacing w:val="-1"/>
              </w:rPr>
              <w:t>列公式计算：磋商报价得分=（磋商基准价/最后</w:t>
            </w:r>
            <w:r>
              <w:rPr>
                <w:spacing w:val="-2"/>
              </w:rPr>
              <w:t>磋商报价）</w:t>
            </w:r>
            <w:r>
              <w:t xml:space="preserve"> </w:t>
            </w:r>
            <w:r>
              <w:rPr>
                <w:spacing w:val="-2"/>
              </w:rPr>
              <w:t>×</w:t>
            </w:r>
            <w:r>
              <w:rPr>
                <w:spacing w:val="-89"/>
              </w:rPr>
              <w:t xml:space="preserve"> </w:t>
            </w:r>
            <w:r>
              <w:rPr>
                <w:spacing w:val="-2"/>
              </w:rPr>
              <w:t>10%×100。（结果保留两位有效小数）</w:t>
            </w:r>
          </w:p>
        </w:tc>
      </w:tr>
      <w:tr w14:paraId="1D90E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714" w:type="dxa"/>
            <w:noWrap w:val="0"/>
            <w:vAlign w:val="center"/>
          </w:tcPr>
          <w:p w14:paraId="4EF4B82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/>
              <w:jc w:val="center"/>
              <w:textAlignment w:val="baseline"/>
              <w:rPr>
                <w:spacing w:val="-20"/>
              </w:rPr>
            </w:pPr>
            <w:r>
              <w:rPr>
                <w:spacing w:val="-20"/>
              </w:rPr>
              <w:t>商务部分</w:t>
            </w:r>
          </w:p>
        </w:tc>
        <w:tc>
          <w:tcPr>
            <w:tcW w:w="717" w:type="dxa"/>
            <w:noWrap w:val="0"/>
            <w:vAlign w:val="center"/>
          </w:tcPr>
          <w:p w14:paraId="3A7F91A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/>
              <w:jc w:val="center"/>
              <w:textAlignment w:val="baseline"/>
              <w:rPr>
                <w:spacing w:val="-20"/>
              </w:rPr>
            </w:pPr>
            <w:r>
              <w:rPr>
                <w:spacing w:val="-20"/>
              </w:rPr>
              <w:t>3 分</w:t>
            </w:r>
          </w:p>
        </w:tc>
        <w:tc>
          <w:tcPr>
            <w:tcW w:w="1024" w:type="dxa"/>
            <w:noWrap w:val="0"/>
            <w:vAlign w:val="center"/>
          </w:tcPr>
          <w:p w14:paraId="651CBF1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/>
              <w:jc w:val="center"/>
              <w:textAlignment w:val="baseline"/>
              <w:rPr>
                <w:spacing w:val="-20"/>
              </w:rPr>
            </w:pPr>
            <w:r>
              <w:rPr>
                <w:spacing w:val="-20"/>
              </w:rPr>
              <w:t>企业业绩</w:t>
            </w:r>
          </w:p>
        </w:tc>
        <w:tc>
          <w:tcPr>
            <w:tcW w:w="6263" w:type="dxa"/>
            <w:noWrap w:val="0"/>
            <w:vAlign w:val="center"/>
          </w:tcPr>
          <w:p w14:paraId="037CEC1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baseline"/>
              <w:rPr>
                <w:vertAlign w:val="baseline"/>
              </w:rPr>
            </w:pPr>
            <w:r>
              <w:rPr>
                <w:spacing w:val="-8"/>
              </w:rPr>
              <w:t>自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202</w:t>
            </w:r>
            <w:r>
              <w:rPr>
                <w:rFonts w:hint="eastAsia"/>
                <w:spacing w:val="-8"/>
                <w:lang w:val="en-US" w:eastAsia="zh-CN"/>
              </w:rPr>
              <w:t>3</w:t>
            </w:r>
            <w:r>
              <w:rPr>
                <w:spacing w:val="-50"/>
              </w:rPr>
              <w:t xml:space="preserve"> </w:t>
            </w:r>
            <w:r>
              <w:rPr>
                <w:spacing w:val="-8"/>
              </w:rPr>
              <w:t>年</w:t>
            </w:r>
            <w:r>
              <w:rPr>
                <w:spacing w:val="-33"/>
              </w:rPr>
              <w:t xml:space="preserve"> </w:t>
            </w:r>
            <w:r>
              <w:rPr>
                <w:rFonts w:hint="eastAsia"/>
                <w:spacing w:val="-8"/>
                <w:lang w:val="en-US" w:eastAsia="zh-CN"/>
              </w:rPr>
              <w:t>7</w:t>
            </w:r>
            <w:r>
              <w:rPr>
                <w:spacing w:val="-8"/>
              </w:rPr>
              <w:t>月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1 日至今（时间以合同签订时间为准）已完</w:t>
            </w:r>
            <w:r>
              <w:rPr>
                <w:spacing w:val="-2"/>
              </w:rPr>
              <w:t>成过的同类业绩,每提供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个得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分，最高得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分。（合同</w:t>
            </w:r>
            <w:r>
              <w:rPr>
                <w:spacing w:val="-1"/>
              </w:rPr>
              <w:t>原件扫描件或复印件</w:t>
            </w:r>
            <w:r>
              <w:rPr>
                <w:rFonts w:hint="eastAsia"/>
                <w:spacing w:val="-1"/>
                <w:lang w:val="en-US" w:eastAsia="zh-CN"/>
              </w:rPr>
              <w:t>并加盖公章</w:t>
            </w:r>
            <w:r>
              <w:rPr>
                <w:spacing w:val="-1"/>
              </w:rPr>
              <w:t>，否则不得分。）</w:t>
            </w:r>
          </w:p>
        </w:tc>
      </w:tr>
      <w:tr w14:paraId="65B7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14" w:type="dxa"/>
            <w:vMerge w:val="restart"/>
            <w:noWrap w:val="0"/>
            <w:vAlign w:val="center"/>
          </w:tcPr>
          <w:p w14:paraId="3CE3762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技术部分</w:t>
            </w:r>
          </w:p>
        </w:tc>
        <w:tc>
          <w:tcPr>
            <w:tcW w:w="717" w:type="dxa"/>
            <w:noWrap w:val="0"/>
            <w:vAlign w:val="center"/>
          </w:tcPr>
          <w:p w14:paraId="75DBCF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/>
              <w:jc w:val="center"/>
              <w:textAlignment w:val="baseline"/>
              <w:rPr>
                <w:spacing w:val="-20"/>
              </w:rPr>
            </w:pPr>
            <w:r>
              <w:rPr>
                <w:rFonts w:hint="eastAsia"/>
                <w:spacing w:val="-20"/>
                <w:lang w:val="en-US" w:eastAsia="zh-CN"/>
              </w:rPr>
              <w:t>17</w:t>
            </w:r>
            <w:r>
              <w:rPr>
                <w:spacing w:val="-20"/>
              </w:rPr>
              <w:t>分</w:t>
            </w:r>
          </w:p>
        </w:tc>
        <w:tc>
          <w:tcPr>
            <w:tcW w:w="1024" w:type="dxa"/>
            <w:noWrap w:val="0"/>
            <w:vAlign w:val="center"/>
          </w:tcPr>
          <w:p w14:paraId="614AE60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/>
              <w:jc w:val="center"/>
              <w:textAlignment w:val="baseline"/>
              <w:rPr>
                <w:spacing w:val="-20"/>
              </w:rPr>
            </w:pPr>
            <w:r>
              <w:rPr>
                <w:spacing w:val="-20"/>
              </w:rPr>
              <w:t>服务要求响应评价</w:t>
            </w:r>
          </w:p>
        </w:tc>
        <w:tc>
          <w:tcPr>
            <w:tcW w:w="6263" w:type="dxa"/>
            <w:noWrap w:val="0"/>
            <w:vAlign w:val="center"/>
          </w:tcPr>
          <w:p w14:paraId="5353FB1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/>
              <w:jc w:val="both"/>
              <w:textAlignment w:val="baseline"/>
              <w:rPr>
                <w:vertAlign w:val="baseline"/>
              </w:rPr>
            </w:pPr>
            <w:r>
              <w:rPr>
                <w:spacing w:val="-2"/>
              </w:rPr>
              <w:t>根据响应文件对磋商文件服务要求的响应程度，完全满足或</w:t>
            </w:r>
            <w:r>
              <w:rPr>
                <w:spacing w:val="1"/>
              </w:rPr>
              <w:t>优于项目要求得</w:t>
            </w:r>
            <w:r>
              <w:rPr>
                <w:spacing w:val="-43"/>
              </w:rPr>
              <w:t xml:space="preserve"> </w:t>
            </w:r>
            <w:r>
              <w:rPr>
                <w:rFonts w:hint="eastAsia"/>
                <w:spacing w:val="1"/>
                <w:lang w:val="en-US" w:eastAsia="zh-CN"/>
              </w:rPr>
              <w:t>17</w:t>
            </w:r>
            <w:r>
              <w:rPr>
                <w:spacing w:val="1"/>
              </w:rPr>
              <w:t>分，每存在一项负偏离扣</w:t>
            </w:r>
            <w:r>
              <w:rPr>
                <w:spacing w:val="-44"/>
              </w:rPr>
              <w:t xml:space="preserve"> </w:t>
            </w:r>
            <w:r>
              <w:rPr>
                <w:spacing w:val="1"/>
              </w:rPr>
              <w:t>0</w:t>
            </w:r>
            <w:r>
              <w:t>.5</w:t>
            </w:r>
            <w:r>
              <w:rPr>
                <w:spacing w:val="-45"/>
              </w:rPr>
              <w:t xml:space="preserve"> </w:t>
            </w:r>
            <w:r>
              <w:t>分，扣完</w:t>
            </w:r>
            <w:r>
              <w:rPr>
                <w:spacing w:val="-3"/>
              </w:rPr>
              <w:t>为止。</w:t>
            </w:r>
          </w:p>
        </w:tc>
      </w:tr>
      <w:tr w14:paraId="4F60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14" w:type="dxa"/>
            <w:vMerge w:val="continue"/>
            <w:noWrap w:val="0"/>
            <w:vAlign w:val="center"/>
          </w:tcPr>
          <w:p w14:paraId="3009178D">
            <w:pPr>
              <w:jc w:val="center"/>
              <w:rPr>
                <w:vertAlign w:val="baseline"/>
              </w:rPr>
            </w:pPr>
          </w:p>
        </w:tc>
        <w:tc>
          <w:tcPr>
            <w:tcW w:w="717" w:type="dxa"/>
            <w:noWrap w:val="0"/>
            <w:vAlign w:val="center"/>
          </w:tcPr>
          <w:p w14:paraId="05FFCE0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cs="宋体"/>
                <w:spacing w:val="-5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分</w:t>
            </w:r>
          </w:p>
        </w:tc>
        <w:tc>
          <w:tcPr>
            <w:tcW w:w="1024" w:type="dxa"/>
            <w:noWrap w:val="0"/>
            <w:vAlign w:val="center"/>
          </w:tcPr>
          <w:p w14:paraId="03A91B7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重难点分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析</w:t>
            </w:r>
          </w:p>
        </w:tc>
        <w:tc>
          <w:tcPr>
            <w:tcW w:w="6263" w:type="dxa"/>
            <w:noWrap w:val="0"/>
            <w:vAlign w:val="top"/>
          </w:tcPr>
          <w:p w14:paraId="2B387FA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根据供应商提供的重难点分析，包括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项目理解、重难点问题、解决应对措施等3</w:t>
            </w:r>
            <w:r>
              <w:rPr>
                <w:rFonts w:hint="eastAsia" w:ascii="宋体" w:hAnsi="宋体" w:eastAsia="宋体" w:cs="宋体"/>
                <w:spacing w:val="-4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项内容进行评审：满分</w:t>
            </w:r>
            <w:r>
              <w:rPr>
                <w:rFonts w:hint="eastAsia" w:ascii="宋体" w:hAnsi="宋体" w:eastAsia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分，每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描述完整、合理、针对性强、可行性强的得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pacing w:val="-3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分，每存在一处不合理、不足的扣</w:t>
            </w:r>
            <w:r>
              <w:rPr>
                <w:rFonts w:hint="eastAsia" w:ascii="宋体" w:hAnsi="宋体" w:eastAsia="宋体" w:cs="宋体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pacing w:val="-4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分，扣完为止，缺项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不得分。</w:t>
            </w:r>
          </w:p>
        </w:tc>
      </w:tr>
      <w:tr w14:paraId="073E1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14" w:type="dxa"/>
            <w:vMerge w:val="continue"/>
            <w:noWrap w:val="0"/>
            <w:vAlign w:val="center"/>
          </w:tcPr>
          <w:p w14:paraId="53DA06B0">
            <w:pPr>
              <w:jc w:val="center"/>
              <w:rPr>
                <w:vertAlign w:val="baseline"/>
              </w:rPr>
            </w:pPr>
          </w:p>
        </w:tc>
        <w:tc>
          <w:tcPr>
            <w:tcW w:w="717" w:type="dxa"/>
            <w:noWrap w:val="0"/>
            <w:vAlign w:val="center"/>
          </w:tcPr>
          <w:p w14:paraId="1ED3C7E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cs="宋体"/>
                <w:spacing w:val="-5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分</w:t>
            </w:r>
          </w:p>
        </w:tc>
        <w:tc>
          <w:tcPr>
            <w:tcW w:w="1024" w:type="dxa"/>
            <w:noWrap w:val="0"/>
            <w:vAlign w:val="center"/>
          </w:tcPr>
          <w:p w14:paraId="39277B9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课程建设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实施方案</w:t>
            </w:r>
          </w:p>
        </w:tc>
        <w:tc>
          <w:tcPr>
            <w:tcW w:w="6263" w:type="dxa"/>
            <w:noWrap w:val="0"/>
            <w:vAlign w:val="top"/>
          </w:tcPr>
          <w:p w14:paraId="0C1C46F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根据供应商提供的课程建设实施方案，包括课程视频拍摄制作、课程知识图谱建设、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智慧课程运行平台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、课程的运营</w:t>
            </w:r>
            <w:r>
              <w:rPr>
                <w:rFonts w:hint="eastAsia" w:cs="宋体"/>
                <w:spacing w:val="5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推广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等4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项内容进行评审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满分</w:t>
            </w:r>
            <w:r>
              <w:rPr>
                <w:rFonts w:hint="eastAsia" w:ascii="宋体" w:hAnsi="宋体" w:eastAsia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分，每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描述完整、合理、针对性强、可行性强的得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分，每存在一处不合理、不足的扣</w:t>
            </w:r>
            <w:r>
              <w:rPr>
                <w:rFonts w:hint="eastAsia" w:ascii="宋体" w:hAnsi="宋体" w:eastAsia="宋体" w:cs="宋体"/>
                <w:spacing w:val="-3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pacing w:val="-4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分，扣完为止，缺项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不得分。</w:t>
            </w:r>
          </w:p>
        </w:tc>
      </w:tr>
      <w:tr w14:paraId="6D2A9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14" w:type="dxa"/>
            <w:vMerge w:val="continue"/>
            <w:noWrap w:val="0"/>
            <w:vAlign w:val="center"/>
          </w:tcPr>
          <w:p w14:paraId="2DD78E3C">
            <w:pPr>
              <w:jc w:val="center"/>
              <w:rPr>
                <w:vertAlign w:val="baseline"/>
              </w:rPr>
            </w:pPr>
          </w:p>
        </w:tc>
        <w:tc>
          <w:tcPr>
            <w:tcW w:w="717" w:type="dxa"/>
            <w:noWrap w:val="0"/>
            <w:vAlign w:val="center"/>
          </w:tcPr>
          <w:p w14:paraId="731465B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spacing w:val="-4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分</w:t>
            </w:r>
          </w:p>
        </w:tc>
        <w:tc>
          <w:tcPr>
            <w:tcW w:w="1024" w:type="dxa"/>
            <w:noWrap w:val="0"/>
            <w:vAlign w:val="center"/>
          </w:tcPr>
          <w:p w14:paraId="14B1A14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总体服务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方案</w:t>
            </w:r>
          </w:p>
        </w:tc>
        <w:tc>
          <w:tcPr>
            <w:tcW w:w="6263" w:type="dxa"/>
            <w:noWrap w:val="0"/>
            <w:vAlign w:val="top"/>
          </w:tcPr>
          <w:p w14:paraId="3ECEE36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根据供应商提供的总体服务方案，包括承揽本项目的优势说明、进度保证措施、质量保证措施、技术保障措施、组织管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理措施</w:t>
            </w:r>
            <w:r>
              <w:rPr>
                <w:rFonts w:hint="eastAsia" w:ascii="宋体" w:hAnsi="宋体" w:eastAsia="宋体" w:cs="宋体"/>
                <w:spacing w:val="-2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项内容进行评审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满分</w:t>
            </w:r>
            <w:r>
              <w:rPr>
                <w:rFonts w:hint="eastAsia" w:ascii="宋体" w:hAnsi="宋体" w:eastAsia="宋体" w:cs="宋体"/>
                <w:spacing w:val="-4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spacing w:val="-4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分，每方面方案描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述完整、针对性强、可行性强的得</w:t>
            </w:r>
            <w:r>
              <w:rPr>
                <w:rFonts w:hint="eastAsia" w:ascii="宋体" w:hAnsi="宋体" w:eastAsia="宋体" w:cs="宋体"/>
                <w:spacing w:val="-5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分，每存在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一处不合理、不足的扣</w:t>
            </w:r>
            <w:r>
              <w:rPr>
                <w:rFonts w:hint="eastAsia" w:ascii="宋体" w:hAnsi="宋体" w:eastAsia="宋体" w:cs="宋体"/>
                <w:spacing w:val="-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pacing w:val="-4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分，扣完为止，缺项不得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分。</w:t>
            </w:r>
          </w:p>
        </w:tc>
      </w:tr>
      <w:tr w14:paraId="53821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714" w:type="dxa"/>
            <w:vMerge w:val="continue"/>
            <w:noWrap w:val="0"/>
            <w:vAlign w:val="center"/>
          </w:tcPr>
          <w:p w14:paraId="68967A4F">
            <w:pPr>
              <w:jc w:val="center"/>
              <w:rPr>
                <w:vertAlign w:val="baseline"/>
              </w:rPr>
            </w:pPr>
          </w:p>
        </w:tc>
        <w:tc>
          <w:tcPr>
            <w:tcW w:w="717" w:type="dxa"/>
            <w:noWrap w:val="0"/>
            <w:vAlign w:val="center"/>
          </w:tcPr>
          <w:p w14:paraId="181CAA7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cs="宋体"/>
                <w:spacing w:val="-8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分</w:t>
            </w:r>
          </w:p>
        </w:tc>
        <w:tc>
          <w:tcPr>
            <w:tcW w:w="1024" w:type="dxa"/>
            <w:noWrap w:val="0"/>
            <w:vAlign w:val="center"/>
          </w:tcPr>
          <w:p w14:paraId="0C926BC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培训方案</w:t>
            </w:r>
          </w:p>
        </w:tc>
        <w:tc>
          <w:tcPr>
            <w:tcW w:w="6263" w:type="dxa"/>
            <w:noWrap w:val="0"/>
            <w:vAlign w:val="top"/>
          </w:tcPr>
          <w:p w14:paraId="73C247A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根据供应商所提供的系统培训方案，包括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培训计划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、培训内容、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培训师资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等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3项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内容进行评审</w:t>
            </w:r>
            <w:r>
              <w:rPr>
                <w:rFonts w:hint="eastAsia" w:cs="宋体"/>
                <w:spacing w:val="-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 xml:space="preserve">满分 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 xml:space="preserve">分，每方面方案描述完整、针对性强、可行性强的得 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分，每存在一处不合理、不足的扣 1 分，扣完为止，缺项不得分。</w:t>
            </w:r>
          </w:p>
        </w:tc>
      </w:tr>
      <w:tr w14:paraId="3C26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714" w:type="dxa"/>
            <w:vMerge w:val="continue"/>
            <w:noWrap w:val="0"/>
            <w:vAlign w:val="center"/>
          </w:tcPr>
          <w:p w14:paraId="2BC44126">
            <w:pPr>
              <w:jc w:val="center"/>
              <w:rPr>
                <w:vertAlign w:val="baseline"/>
              </w:rPr>
            </w:pPr>
          </w:p>
        </w:tc>
        <w:tc>
          <w:tcPr>
            <w:tcW w:w="717" w:type="dxa"/>
            <w:noWrap w:val="0"/>
            <w:vAlign w:val="center"/>
          </w:tcPr>
          <w:p w14:paraId="5AC9E35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cs="宋体"/>
                <w:spacing w:val="-8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分</w:t>
            </w:r>
          </w:p>
        </w:tc>
        <w:tc>
          <w:tcPr>
            <w:tcW w:w="1024" w:type="dxa"/>
            <w:noWrap w:val="0"/>
            <w:vAlign w:val="center"/>
          </w:tcPr>
          <w:p w14:paraId="70DCA71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人员配备</w:t>
            </w:r>
          </w:p>
        </w:tc>
        <w:tc>
          <w:tcPr>
            <w:tcW w:w="6263" w:type="dxa"/>
            <w:noWrap w:val="0"/>
            <w:vAlign w:val="top"/>
          </w:tcPr>
          <w:p w14:paraId="7775337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根据供应商提供的项目人员配备方案进行评审，包含人员配备</w:t>
            </w:r>
            <w:r>
              <w:rPr>
                <w:rFonts w:hint="eastAsia" w:cs="宋体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专业能力、职责分工</w:t>
            </w:r>
            <w:r>
              <w:rPr>
                <w:rFonts w:hint="eastAsia" w:cs="宋体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实施经验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等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项内容进行评审，满分 1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 xml:space="preserve">分，每方面方案描述完整、针对性强、可行性强的得 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分，每存在一处不合理、不足的扣 1 分，扣完为止，缺项不得分。</w:t>
            </w:r>
          </w:p>
        </w:tc>
      </w:tr>
      <w:tr w14:paraId="0071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714" w:type="dxa"/>
            <w:vMerge w:val="continue"/>
            <w:noWrap w:val="0"/>
            <w:vAlign w:val="center"/>
          </w:tcPr>
          <w:p w14:paraId="0BA73A17">
            <w:pPr>
              <w:jc w:val="center"/>
              <w:rPr>
                <w:vertAlign w:val="baseline"/>
              </w:rPr>
            </w:pPr>
          </w:p>
        </w:tc>
        <w:tc>
          <w:tcPr>
            <w:tcW w:w="717" w:type="dxa"/>
            <w:noWrap w:val="0"/>
            <w:vAlign w:val="center"/>
          </w:tcPr>
          <w:p w14:paraId="05E31B6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/>
                <w:spacing w:val="-10"/>
                <w:sz w:val="24"/>
                <w:szCs w:val="24"/>
                <w:lang w:val="en-US" w:eastAsia="zh-CN"/>
              </w:rPr>
              <w:t>8</w:t>
            </w:r>
            <w:r>
              <w:rPr>
                <w:spacing w:val="-10"/>
                <w:sz w:val="24"/>
                <w:szCs w:val="24"/>
              </w:rPr>
              <w:t>分</w:t>
            </w:r>
          </w:p>
        </w:tc>
        <w:tc>
          <w:tcPr>
            <w:tcW w:w="1024" w:type="dxa"/>
            <w:noWrap w:val="0"/>
            <w:vAlign w:val="center"/>
          </w:tcPr>
          <w:p w14:paraId="6072FF2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服务响应</w:t>
            </w:r>
          </w:p>
        </w:tc>
        <w:tc>
          <w:tcPr>
            <w:tcW w:w="6263" w:type="dxa"/>
            <w:noWrap w:val="0"/>
            <w:vAlign w:val="top"/>
          </w:tcPr>
          <w:p w14:paraId="016DB49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/>
              <w:jc w:val="both"/>
              <w:textAlignment w:val="baseline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根据供应商所提供的</w:t>
            </w:r>
            <w:r>
              <w:rPr>
                <w:rFonts w:hint="eastAsia"/>
                <w:spacing w:val="8"/>
                <w:sz w:val="24"/>
                <w:szCs w:val="24"/>
              </w:rPr>
              <w:t>服务响应</w:t>
            </w:r>
            <w:r>
              <w:rPr>
                <w:spacing w:val="8"/>
                <w:sz w:val="24"/>
                <w:szCs w:val="24"/>
              </w:rPr>
              <w:t>方案内容，包括服务体</w:t>
            </w:r>
            <w:r>
              <w:rPr>
                <w:spacing w:val="-2"/>
                <w:sz w:val="24"/>
                <w:szCs w:val="24"/>
              </w:rPr>
              <w:t>系、服务响应时间、紧急状况的应对措施、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持续优化团队等</w:t>
            </w:r>
            <w:r>
              <w:rPr>
                <w:spacing w:val="-42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spacing w:val="-4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项内容进行评审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sz w:val="24"/>
                <w:szCs w:val="24"/>
              </w:rPr>
              <w:t>满分</w:t>
            </w:r>
            <w:r>
              <w:rPr>
                <w:spacing w:val="-31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spacing w:val="-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分，</w:t>
            </w:r>
            <w:r>
              <w:rPr>
                <w:rFonts w:hint="eastAsia"/>
                <w:sz w:val="24"/>
                <w:szCs w:val="24"/>
              </w:rPr>
              <w:t xml:space="preserve">每方面方案描述完整、针对性强、可行性强的得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分，每存在一处不合理、不足的扣 1 分，扣完为止，缺项不得分。</w:t>
            </w:r>
          </w:p>
        </w:tc>
      </w:tr>
    </w:tbl>
    <w:p w14:paraId="2028DD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268A6"/>
    <w:rsid w:val="2903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2026-07-06T03:41:15Z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