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DACB7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项目理解与重难点分析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；</w:t>
      </w:r>
    </w:p>
    <w:p w14:paraId="6872B27B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供货组织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方案</w:t>
      </w:r>
      <w:r>
        <w:rPr>
          <w:rFonts w:hint="eastAsia" w:eastAsia="宋体" w:cs="宋体"/>
          <w:color w:val="auto"/>
          <w:sz w:val="24"/>
          <w:szCs w:val="24"/>
          <w:lang w:eastAsia="zh-CN"/>
        </w:rPr>
        <w:t>；</w:t>
      </w:r>
    </w:p>
    <w:p w14:paraId="673B0051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换货及应急方案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；</w:t>
      </w:r>
    </w:p>
    <w:p w14:paraId="1E8C8599">
      <w:pPr>
        <w:pStyle w:val="4"/>
        <w:spacing w:before="87" w:line="360" w:lineRule="auto"/>
        <w:ind w:left="107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保障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措施。</w:t>
      </w:r>
    </w:p>
    <w:p w14:paraId="27A19E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</w:pPr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2026-07-09T05:48:27Z</dcterms:created>
  <dc:creator>华为</dc:creator>
  <cp:lastModifiedBy>尹乐舒</cp:lastModifiedBy>
  <dcterms:modified xsi:type="dcterms:W3CDTF">2026-07-09T05:49:43Z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eyJoZGlkIjoiMzEwNTM5NzYwMDRjMzkwZTVkZjY2ODkwMGIxNGU0OTUiLCJ1c2VySWQiOiI0MTcyMzcwOTgifQ==</vt:lpwstr>
  </property>
  <property fmtid="{D5CDD505-2E9C-101B-9397-08002B2CF9AE}" pid="4" name="ICV">
    <vt:lpwstr>1D7B0B18FDDA4E89ADA413DF42D8ACA8_12</vt:lpwstr>
  </property>
</Properties>
</file>