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hint="eastAsia" w:ascii="仿宋" w:hAnsi="仿宋" w:eastAsia="仿宋" w:cs="仿宋"/>
          <w:color w:val="auto"/>
          <w:highlight w:val="none"/>
        </w:rPr>
      </w:pPr>
    </w:p>
    <w:p>
      <w:pPr>
        <w:ind w:firstLine="480"/>
        <w:jc w:val="right"/>
        <w:rPr>
          <w:rFonts w:hint="eastAsia" w:ascii="仿宋" w:hAnsi="仿宋" w:eastAsia="仿宋" w:cs="仿宋"/>
          <w:color w:val="auto"/>
          <w:highlight w:val="none"/>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3"/>
                    <a:stretch>
                      <a:fillRect/>
                    </a:stretch>
                  </pic:blipFill>
                  <pic:spPr>
                    <a:xfrm>
                      <a:off x="0" y="0"/>
                      <a:ext cx="1483360" cy="878205"/>
                    </a:xfrm>
                    <a:prstGeom prst="rect">
                      <a:avLst/>
                    </a:prstGeom>
                    <a:noFill/>
                    <a:ln>
                      <a:noFill/>
                    </a:ln>
                  </pic:spPr>
                </pic:pic>
              </a:graphicData>
            </a:graphic>
          </wp:inline>
        </w:drawing>
      </w:r>
    </w:p>
    <w:p>
      <w:pPr>
        <w:ind w:firstLine="480"/>
        <w:rPr>
          <w:rFonts w:hint="eastAsia" w:ascii="仿宋" w:hAnsi="仿宋" w:eastAsia="仿宋" w:cs="仿宋"/>
          <w:color w:val="auto"/>
          <w:highlight w:val="none"/>
        </w:rPr>
      </w:pPr>
    </w:p>
    <w:p>
      <w:pPr>
        <w:ind w:firstLine="0" w:firstLineChars="0"/>
        <w:jc w:val="center"/>
        <w:rPr>
          <w:rFonts w:hint="eastAsia" w:ascii="仿宋" w:hAnsi="仿宋" w:eastAsia="仿宋" w:cs="仿宋"/>
          <w:b/>
          <w:bCs/>
          <w:color w:val="auto"/>
          <w:sz w:val="48"/>
          <w:szCs w:val="48"/>
          <w:highlight w:val="none"/>
          <w:lang w:eastAsia="zh-CN"/>
        </w:rPr>
      </w:pPr>
      <w:r>
        <w:rPr>
          <w:rFonts w:hint="eastAsia" w:ascii="仿宋" w:hAnsi="仿宋" w:eastAsia="仿宋" w:cs="仿宋"/>
          <w:b/>
          <w:bCs/>
          <w:color w:val="auto"/>
          <w:sz w:val="48"/>
          <w:szCs w:val="48"/>
          <w:highlight w:val="none"/>
          <w:lang w:eastAsia="zh-CN"/>
        </w:rPr>
        <w:t>山东第一医科大学（山东省医学科学院）科教融合学术提升创新角膜供体材料的研发和临床研究设备购置（145）</w:t>
      </w:r>
    </w:p>
    <w:p>
      <w:pPr>
        <w:ind w:firstLine="0" w:firstLineChars="0"/>
        <w:jc w:val="center"/>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公开招标文件</w:t>
      </w:r>
    </w:p>
    <w:p>
      <w:pPr>
        <w:ind w:firstLine="243" w:firstLineChars="55"/>
        <w:jc w:val="center"/>
        <w:rPr>
          <w:rFonts w:hint="eastAsia" w:ascii="仿宋" w:hAnsi="仿宋" w:eastAsia="仿宋" w:cs="仿宋"/>
          <w:b/>
          <w:color w:val="auto"/>
          <w:sz w:val="44"/>
          <w:szCs w:val="44"/>
          <w:highlight w:val="none"/>
        </w:rPr>
      </w:pPr>
    </w:p>
    <w:p>
      <w:pPr>
        <w:ind w:left="0" w:leftChars="0" w:firstLine="0" w:firstLineChars="0"/>
        <w:rPr>
          <w:rFonts w:hint="eastAsia" w:ascii="仿宋" w:hAnsi="仿宋" w:eastAsia="仿宋" w:cs="仿宋"/>
          <w:color w:val="auto"/>
          <w:highlight w:val="none"/>
        </w:rPr>
      </w:pPr>
    </w:p>
    <w:p>
      <w:pPr>
        <w:ind w:firstLine="199" w:firstLineChars="55"/>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项目编号：SDGP370000000202302004575</w:t>
      </w:r>
    </w:p>
    <w:p>
      <w:pPr>
        <w:ind w:firstLine="199" w:firstLineChars="55"/>
        <w:jc w:val="center"/>
        <w:rPr>
          <w:rFonts w:hint="eastAsia" w:ascii="仿宋" w:hAnsi="仿宋" w:eastAsia="仿宋" w:cs="仿宋"/>
          <w:b/>
          <w:color w:val="auto"/>
          <w:sz w:val="36"/>
          <w:szCs w:val="36"/>
          <w:highlight w:val="none"/>
          <w:u w:val="single"/>
          <w:lang w:val="en-US" w:eastAsia="zh-CN"/>
        </w:rPr>
      </w:pPr>
      <w:r>
        <w:rPr>
          <w:rFonts w:hint="eastAsia" w:ascii="仿宋" w:hAnsi="仿宋" w:cs="仿宋"/>
          <w:b/>
          <w:color w:val="auto"/>
          <w:sz w:val="36"/>
          <w:szCs w:val="36"/>
          <w:highlight w:val="none"/>
          <w:lang w:val="en-US" w:eastAsia="zh-CN"/>
        </w:rPr>
        <w:t>/</w:t>
      </w:r>
      <w:r>
        <w:rPr>
          <w:rFonts w:hint="eastAsia" w:ascii="仿宋" w:hAnsi="仿宋" w:eastAsia="仿宋" w:cs="仿宋"/>
          <w:b/>
          <w:color w:val="auto"/>
          <w:sz w:val="36"/>
          <w:szCs w:val="36"/>
          <w:highlight w:val="none"/>
          <w:lang w:eastAsia="zh-CN"/>
        </w:rPr>
        <w:t>sdhryw2023145</w:t>
      </w:r>
    </w:p>
    <w:p>
      <w:pPr>
        <w:pStyle w:val="11"/>
        <w:ind w:left="0" w:leftChars="0" w:right="-42" w:firstLine="482"/>
        <w:rPr>
          <w:rFonts w:hint="eastAsia" w:ascii="仿宋" w:hAnsi="仿宋" w:eastAsia="仿宋" w:cs="仿宋"/>
          <w:b/>
          <w:bCs/>
          <w:color w:val="auto"/>
          <w:sz w:val="24"/>
          <w:szCs w:val="24"/>
          <w:highlight w:val="none"/>
        </w:rPr>
      </w:pPr>
    </w:p>
    <w:p>
      <w:pPr>
        <w:ind w:firstLine="723"/>
        <w:jc w:val="center"/>
        <w:rPr>
          <w:rFonts w:hint="eastAsia" w:ascii="仿宋" w:hAnsi="仿宋" w:eastAsia="仿宋" w:cs="仿宋"/>
          <w:b/>
          <w:bCs/>
          <w:color w:val="auto"/>
          <w:szCs w:val="24"/>
          <w:highlight w:val="none"/>
        </w:rPr>
      </w:pPr>
      <w:r>
        <w:rPr>
          <w:rFonts w:hint="eastAsia" w:ascii="仿宋" w:hAnsi="仿宋" w:eastAsia="仿宋" w:cs="仿宋"/>
          <w:b/>
          <w:bCs/>
          <w:color w:val="auto"/>
          <w:sz w:val="36"/>
          <w:szCs w:val="36"/>
          <w:highlight w:val="none"/>
        </w:rPr>
        <w:t>（第二册 项目专用部分）</w:t>
      </w:r>
    </w:p>
    <w:p>
      <w:pPr>
        <w:ind w:firstLine="482"/>
        <w:jc w:val="center"/>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left="0" w:leftChars="0" w:firstLine="0" w:firstLineChars="0"/>
        <w:jc w:val="both"/>
        <w:rPr>
          <w:rFonts w:hint="eastAsia" w:ascii="仿宋" w:hAnsi="仿宋" w:eastAsia="仿宋" w:cs="仿宋"/>
          <w:b/>
          <w:bCs/>
          <w:color w:val="auto"/>
          <w:szCs w:val="24"/>
          <w:highlight w:val="none"/>
        </w:rPr>
      </w:pPr>
    </w:p>
    <w:p>
      <w:pPr>
        <w:ind w:firstLine="482"/>
        <w:jc w:val="center"/>
        <w:rPr>
          <w:rFonts w:hint="eastAsia" w:ascii="仿宋" w:hAnsi="仿宋" w:eastAsia="仿宋" w:cs="仿宋"/>
          <w:b/>
          <w:bCs/>
          <w:color w:val="auto"/>
          <w:szCs w:val="24"/>
          <w:highlight w:val="none"/>
        </w:rPr>
      </w:pPr>
    </w:p>
    <w:p>
      <w:pPr>
        <w:ind w:firstLine="0" w:firstLineChars="0"/>
        <w:rPr>
          <w:rFonts w:hint="eastAsia" w:ascii="仿宋" w:hAnsi="仿宋" w:eastAsia="仿宋" w:cs="仿宋"/>
          <w:b/>
          <w:color w:val="auto"/>
          <w:sz w:val="36"/>
          <w:szCs w:val="36"/>
          <w:highlight w:val="none"/>
        </w:rPr>
      </w:pPr>
      <w:r>
        <w:rPr>
          <w:rFonts w:hint="eastAsia" w:ascii="仿宋" w:hAnsi="仿宋" w:eastAsia="仿宋" w:cs="仿宋"/>
          <w:b/>
          <w:bCs/>
          <w:color w:val="auto"/>
          <w:szCs w:val="24"/>
          <w:highlight w:val="none"/>
        </w:rPr>
        <w:t xml:space="preserve">  </w:t>
      </w:r>
    </w:p>
    <w:p>
      <w:pPr>
        <w:ind w:left="1440" w:leftChars="600" w:firstLine="0" w:firstLineChars="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   购   人：</w:t>
      </w:r>
      <w:r>
        <w:rPr>
          <w:rFonts w:hint="eastAsia" w:ascii="仿宋" w:hAnsi="仿宋" w:eastAsia="仿宋" w:cs="仿宋"/>
          <w:b/>
          <w:bCs/>
          <w:color w:val="auto"/>
          <w:sz w:val="36"/>
          <w:szCs w:val="36"/>
          <w:highlight w:val="none"/>
          <w:u w:val="single"/>
          <w:lang w:eastAsia="zh-CN"/>
        </w:rPr>
        <w:t>山东第一医科大学（山东省医学科学院）</w:t>
      </w:r>
    </w:p>
    <w:p>
      <w:pPr>
        <w:ind w:firstLine="1446" w:firstLineChars="400"/>
        <w:rPr>
          <w:rFonts w:hint="eastAsia" w:ascii="仿宋" w:hAnsi="仿宋" w:eastAsia="仿宋" w:cs="仿宋"/>
          <w:b/>
          <w:color w:val="auto"/>
          <w:sz w:val="36"/>
          <w:szCs w:val="36"/>
          <w:highlight w:val="none"/>
          <w:lang w:eastAsia="zh-CN"/>
        </w:rPr>
      </w:pPr>
      <w:r>
        <w:rPr>
          <w:rFonts w:hint="eastAsia" w:ascii="仿宋" w:hAnsi="仿宋" w:eastAsia="仿宋" w:cs="仿宋"/>
          <w:b/>
          <w:color w:val="auto"/>
          <w:sz w:val="36"/>
          <w:szCs w:val="36"/>
          <w:highlight w:val="none"/>
        </w:rPr>
        <w:t>采购代理机构：</w:t>
      </w:r>
      <w:r>
        <w:rPr>
          <w:rFonts w:hint="eastAsia" w:ascii="仿宋" w:hAnsi="仿宋" w:eastAsia="仿宋" w:cs="仿宋"/>
          <w:b/>
          <w:color w:val="auto"/>
          <w:sz w:val="36"/>
          <w:szCs w:val="36"/>
          <w:highlight w:val="none"/>
          <w:u w:val="single"/>
          <w:lang w:eastAsia="zh-CN"/>
        </w:rPr>
        <w:t>山东华仁永旺招标有限公司</w:t>
      </w:r>
    </w:p>
    <w:p>
      <w:pPr>
        <w:ind w:firstLine="1446" w:firstLineChars="400"/>
        <w:rPr>
          <w:rFonts w:hint="eastAsia" w:ascii="仿宋" w:hAnsi="仿宋" w:eastAsia="仿宋" w:cs="仿宋"/>
          <w:b/>
          <w:color w:val="auto"/>
          <w:sz w:val="36"/>
          <w:szCs w:val="36"/>
          <w:highlight w:val="none"/>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color w:val="auto"/>
          <w:sz w:val="36"/>
          <w:szCs w:val="36"/>
          <w:highlight w:val="none"/>
        </w:rPr>
        <w:t>日        期：</w:t>
      </w:r>
      <w:r>
        <w:rPr>
          <w:rFonts w:hint="eastAsia" w:ascii="仿宋" w:hAnsi="仿宋" w:eastAsia="仿宋" w:cs="仿宋"/>
          <w:b/>
          <w:color w:val="auto"/>
          <w:sz w:val="36"/>
          <w:szCs w:val="36"/>
          <w:highlight w:val="none"/>
          <w:u w:val="single"/>
        </w:rPr>
        <w:t>二〇二</w:t>
      </w:r>
      <w:r>
        <w:rPr>
          <w:rFonts w:hint="eastAsia" w:ascii="仿宋" w:hAnsi="仿宋" w:eastAsia="仿宋" w:cs="仿宋"/>
          <w:b/>
          <w:color w:val="auto"/>
          <w:sz w:val="36"/>
          <w:szCs w:val="36"/>
          <w:highlight w:val="none"/>
          <w:u w:val="single"/>
          <w:lang w:eastAsia="zh-CN"/>
        </w:rPr>
        <w:t>三</w:t>
      </w:r>
      <w:r>
        <w:rPr>
          <w:rFonts w:hint="eastAsia" w:ascii="仿宋" w:hAnsi="仿宋" w:eastAsia="仿宋" w:cs="仿宋"/>
          <w:b/>
          <w:color w:val="auto"/>
          <w:sz w:val="36"/>
          <w:szCs w:val="36"/>
          <w:highlight w:val="none"/>
          <w:u w:val="single"/>
        </w:rPr>
        <w:t>年</w:t>
      </w:r>
      <w:r>
        <w:rPr>
          <w:rFonts w:hint="eastAsia" w:ascii="仿宋" w:hAnsi="仿宋" w:cs="仿宋"/>
          <w:b/>
          <w:color w:val="auto"/>
          <w:sz w:val="36"/>
          <w:szCs w:val="36"/>
          <w:highlight w:val="none"/>
          <w:u w:val="single"/>
          <w:lang w:val="en-US" w:eastAsia="zh-CN"/>
        </w:rPr>
        <w:t>七</w:t>
      </w:r>
      <w:r>
        <w:rPr>
          <w:rFonts w:hint="eastAsia" w:ascii="仿宋" w:hAnsi="仿宋" w:eastAsia="仿宋" w:cs="仿宋"/>
          <w:b/>
          <w:color w:val="auto"/>
          <w:sz w:val="36"/>
          <w:szCs w:val="36"/>
          <w:highlight w:val="none"/>
          <w:u w:val="single"/>
        </w:rPr>
        <w:t>月</w:t>
      </w:r>
    </w:p>
    <w:p>
      <w:pPr>
        <w:pStyle w:val="33"/>
        <w:ind w:firstLine="0" w:firstLineChars="0"/>
        <w:jc w:val="center"/>
        <w:rPr>
          <w:rFonts w:hint="eastAsia" w:ascii="仿宋" w:hAnsi="仿宋" w:eastAsia="仿宋" w:cs="仿宋"/>
          <w:b/>
          <w:color w:val="auto"/>
          <w:sz w:val="32"/>
          <w:szCs w:val="28"/>
          <w:highlight w:val="none"/>
        </w:rPr>
      </w:pPr>
      <w:r>
        <w:rPr>
          <w:rFonts w:hint="eastAsia" w:ascii="仿宋" w:hAnsi="仿宋" w:eastAsia="仿宋" w:cs="仿宋"/>
          <w:b/>
          <w:color w:val="auto"/>
          <w:sz w:val="32"/>
          <w:szCs w:val="28"/>
          <w:highlight w:val="none"/>
        </w:rPr>
        <w:t>目  录</w:t>
      </w:r>
    </w:p>
    <w:p>
      <w:pPr>
        <w:pStyle w:val="33"/>
        <w:spacing w:line="360" w:lineRule="auto"/>
        <w:ind w:firstLine="0" w:firstLineChars="0"/>
        <w:rPr>
          <w:rFonts w:hint="eastAsia" w:ascii="仿宋" w:hAnsi="仿宋" w:eastAsia="仿宋" w:cs="仿宋"/>
          <w:b/>
          <w:color w:val="auto"/>
          <w:sz w:val="28"/>
          <w:szCs w:val="28"/>
          <w:highlight w:val="none"/>
        </w:rPr>
      </w:pPr>
      <w:bookmarkStart w:id="0" w:name="_Toc106784518"/>
      <w:r>
        <w:rPr>
          <w:rFonts w:hint="eastAsia" w:ascii="仿宋" w:hAnsi="仿宋" w:eastAsia="仿宋" w:cs="仿宋"/>
          <w:b/>
          <w:color w:val="auto"/>
          <w:sz w:val="28"/>
          <w:szCs w:val="28"/>
          <w:highlight w:val="none"/>
        </w:rPr>
        <w:t>第一册  通用部分</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第一部分   投标人须知</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第二部分   政府采购合同格式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第三部分   投标文件格式</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第四部分   附件</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spacing w:line="360" w:lineRule="auto"/>
        <w:ind w:firstLine="0" w:firstLineChars="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第二册  项目专用部分（本册）</w:t>
      </w:r>
    </w:p>
    <w:p>
      <w:pPr>
        <w:pStyle w:val="18"/>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TOC \o "1-2" \h \z \u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"_Toc106784591"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第五部分 投标邀请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8"/>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"_Toc106784592"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第六部分投标人须知附表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8"/>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"_Toc106784593"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第七部分评标方法和评分细则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0"/>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"_Toc106784594"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一、评标方法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0"/>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"_Toc106784595"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二、评分细则</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20"/>
        <w:tabs>
          <w:tab w:val="right" w:leader="dot" w:pos="9629"/>
        </w:tabs>
        <w:ind w:left="480"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"_Toc106784596"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三、初步审查属于无效投标的条款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18"/>
        <w:tabs>
          <w:tab w:val="right" w:leader="dot" w:pos="9629"/>
        </w:tabs>
        <w:ind w:firstLine="480"/>
        <w:rPr>
          <w:rFonts w:hint="eastAsia" w:ascii="仿宋" w:hAnsi="仿宋" w:eastAsia="仿宋" w:cs="仿宋"/>
          <w:color w:val="auto"/>
          <w:sz w:val="21"/>
          <w:szCs w:val="22"/>
          <w:highlight w:val="none"/>
        </w:rPr>
      </w:pP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\l "_Toc106784597" </w:instrText>
      </w:r>
      <w:r>
        <w:rPr>
          <w:rFonts w:hint="eastAsia" w:ascii="仿宋" w:hAnsi="仿宋" w:eastAsia="仿宋" w:cs="仿宋"/>
          <w:color w:val="auto"/>
          <w:highlight w:val="none"/>
        </w:rPr>
        <w:fldChar w:fldCharType="separate"/>
      </w:r>
      <w:r>
        <w:rPr>
          <w:rStyle w:val="27"/>
          <w:rFonts w:hint="eastAsia" w:ascii="仿宋" w:hAnsi="仿宋" w:eastAsia="仿宋" w:cs="仿宋"/>
          <w:b/>
          <w:color w:val="auto"/>
          <w:highlight w:val="none"/>
        </w:rPr>
        <w:t>第八部分技术要求及说明</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_Toc106784597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fldChar w:fldCharType="end"/>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pStyle w:val="33"/>
        <w:ind w:firstLine="0" w:firstLineChars="0"/>
        <w:jc w:val="center"/>
        <w:outlineLvl w:val="0"/>
        <w:rPr>
          <w:rFonts w:hint="eastAsia" w:ascii="仿宋" w:hAnsi="仿宋" w:eastAsia="仿宋" w:cs="仿宋"/>
          <w:b/>
          <w:color w:val="auto"/>
          <w:sz w:val="32"/>
          <w:szCs w:val="32"/>
          <w:highlight w:val="none"/>
        </w:rPr>
      </w:pPr>
      <w:bookmarkStart w:id="1" w:name="_Toc106784591"/>
      <w:r>
        <w:rPr>
          <w:rFonts w:hint="eastAsia" w:ascii="仿宋" w:hAnsi="仿宋" w:eastAsia="仿宋" w:cs="仿宋"/>
          <w:b/>
          <w:color w:val="auto"/>
          <w:sz w:val="32"/>
          <w:szCs w:val="32"/>
          <w:highlight w:val="none"/>
          <w:lang w:val="en-US" w:eastAsia="zh-CN"/>
        </w:rPr>
        <w:t xml:space="preserve"> </w:t>
      </w:r>
      <w:r>
        <w:rPr>
          <w:rFonts w:hint="eastAsia" w:ascii="仿宋" w:hAnsi="仿宋" w:eastAsia="仿宋" w:cs="仿宋"/>
          <w:b/>
          <w:color w:val="auto"/>
          <w:sz w:val="32"/>
          <w:szCs w:val="32"/>
          <w:highlight w:val="none"/>
        </w:rPr>
        <w:t>第五部分 投标邀请</w:t>
      </w:r>
      <w:bookmarkEnd w:id="0"/>
      <w:bookmarkEnd w:id="1"/>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（以下简称采购代理机构）受</w:t>
      </w:r>
      <w:r>
        <w:rPr>
          <w:rFonts w:hint="eastAsia" w:ascii="仿宋" w:hAnsi="仿宋" w:eastAsia="仿宋" w:cs="仿宋"/>
          <w:color w:val="auto"/>
          <w:highlight w:val="none"/>
          <w:lang w:eastAsia="zh-CN"/>
        </w:rPr>
        <w:t>山东第一医科大学（山东省医学科学院）</w:t>
      </w:r>
      <w:r>
        <w:rPr>
          <w:rFonts w:hint="eastAsia" w:ascii="仿宋" w:hAnsi="仿宋" w:eastAsia="仿宋" w:cs="仿宋"/>
          <w:color w:val="auto"/>
          <w:highlight w:val="none"/>
        </w:rPr>
        <w:t>的委托，对“</w:t>
      </w:r>
      <w:r>
        <w:rPr>
          <w:rFonts w:hint="eastAsia" w:ascii="仿宋" w:hAnsi="仿宋" w:eastAsia="仿宋" w:cs="仿宋"/>
          <w:bCs/>
          <w:color w:val="auto"/>
          <w:highlight w:val="none"/>
          <w:lang w:eastAsia="zh-CN"/>
        </w:rPr>
        <w:t>山东第一医科大学（山东省医学科学院）科教融合学术提升创新角膜供体材料的研发和临床研究设备购置（145）</w:t>
      </w:r>
      <w:r>
        <w:rPr>
          <w:rFonts w:hint="eastAsia" w:ascii="仿宋" w:hAnsi="仿宋" w:eastAsia="仿宋" w:cs="仿宋"/>
          <w:color w:val="auto"/>
          <w:highlight w:val="none"/>
        </w:rPr>
        <w:t>”货物及其他相关服务进行国内公开招标，欢迎符合条件的合格投标人参与投标。</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一、项目名称及编号</w:t>
      </w:r>
    </w:p>
    <w:p>
      <w:pPr>
        <w:pStyle w:val="33"/>
        <w:spacing w:line="360" w:lineRule="auto"/>
        <w:ind w:firstLine="480"/>
        <w:rPr>
          <w:rFonts w:hint="eastAsia" w:ascii="仿宋" w:hAnsi="仿宋" w:eastAsia="仿宋" w:cs="仿宋"/>
          <w:bCs/>
          <w:color w:val="auto"/>
          <w:highlight w:val="none"/>
          <w:lang w:eastAsia="zh-CN"/>
        </w:rPr>
      </w:pPr>
      <w:r>
        <w:rPr>
          <w:rFonts w:hint="eastAsia" w:ascii="仿宋" w:hAnsi="仿宋" w:eastAsia="仿宋" w:cs="仿宋"/>
          <w:color w:val="auto"/>
          <w:highlight w:val="none"/>
        </w:rPr>
        <w:t>项目名称：</w:t>
      </w:r>
      <w:r>
        <w:rPr>
          <w:rFonts w:hint="eastAsia" w:ascii="仿宋" w:hAnsi="仿宋" w:eastAsia="仿宋" w:cs="仿宋"/>
          <w:bCs/>
          <w:color w:val="auto"/>
          <w:highlight w:val="none"/>
          <w:lang w:eastAsia="zh-CN"/>
        </w:rPr>
        <w:t>山东第一医科大学（山东省医学科学院）科教融合学术提升创新角膜供体材料的研发和临床研究设备购置（145）</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项目编号：</w:t>
      </w:r>
      <w:bookmarkStart w:id="19" w:name="_GoBack"/>
      <w:r>
        <w:rPr>
          <w:rFonts w:hint="eastAsia" w:ascii="仿宋" w:hAnsi="仿宋" w:eastAsia="仿宋" w:cs="仿宋"/>
          <w:color w:val="auto"/>
          <w:highlight w:val="none"/>
        </w:rPr>
        <w:t>SDGP370000000202302004575</w:t>
      </w:r>
      <w:bookmarkEnd w:id="19"/>
      <w:r>
        <w:rPr>
          <w:rFonts w:hint="eastAsia" w:ascii="仿宋" w:hAnsi="仿宋" w:cs="仿宋"/>
          <w:color w:val="auto"/>
          <w:highlight w:val="none"/>
          <w:lang w:val="en-US" w:eastAsia="zh-CN"/>
        </w:rPr>
        <w:t>/</w:t>
      </w:r>
      <w:r>
        <w:rPr>
          <w:rFonts w:hint="eastAsia" w:ascii="仿宋" w:hAnsi="仿宋" w:eastAsia="仿宋" w:cs="仿宋"/>
          <w:color w:val="auto"/>
          <w:highlight w:val="none"/>
          <w:lang w:eastAsia="zh-CN"/>
        </w:rPr>
        <w:t>sdhryw2023145</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计划编号：</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rPr>
        <w:t>二、采购内容及分包</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1、采购内容：</w:t>
      </w:r>
      <w:r>
        <w:rPr>
          <w:rFonts w:hint="eastAsia" w:ascii="仿宋" w:hAnsi="仿宋" w:eastAsia="仿宋" w:cs="仿宋"/>
          <w:bCs/>
          <w:color w:val="auto"/>
          <w:highlight w:val="none"/>
          <w:lang w:eastAsia="zh-CN"/>
        </w:rPr>
        <w:t>山东第一医科大学（山东省医学科学院）科教融合学术提升创新角膜供体材料的研发和临床研究设备购置（145）</w:t>
      </w:r>
      <w:r>
        <w:rPr>
          <w:rFonts w:hint="eastAsia" w:ascii="仿宋" w:hAnsi="仿宋" w:eastAsia="仿宋" w:cs="仿宋"/>
          <w:color w:val="auto"/>
          <w:highlight w:val="none"/>
        </w:rPr>
        <w:t>，包括拟采购设备的供货、运输、安装调试及售后服务等。</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2、分包情况：共</w:t>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t>个包，</w:t>
      </w:r>
      <w:r>
        <w:rPr>
          <w:rFonts w:hint="eastAsia" w:ascii="仿宋" w:hAnsi="仿宋" w:eastAsia="仿宋" w:cs="仿宋"/>
          <w:bCs/>
          <w:color w:val="auto"/>
          <w:szCs w:val="24"/>
          <w:highlight w:val="none"/>
        </w:rPr>
        <w:t>分包内不允许拆包后投标</w:t>
      </w:r>
      <w:r>
        <w:rPr>
          <w:rFonts w:hint="eastAsia" w:ascii="仿宋" w:hAnsi="仿宋" w:eastAsia="仿宋" w:cs="仿宋"/>
          <w:color w:val="auto"/>
          <w:highlight w:val="none"/>
        </w:rPr>
        <w:t>。具体分包及技术、服务要求详见“第八部分技术要求及说明”。</w:t>
      </w:r>
    </w:p>
    <w:tbl>
      <w:tblPr>
        <w:tblStyle w:val="23"/>
        <w:tblpPr w:leftFromText="180" w:rightFromText="180" w:vertAnchor="text" w:horzAnchor="page" w:tblpXSpec="center" w:tblpY="254"/>
        <w:tblOverlap w:val="never"/>
        <w:tblW w:w="55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57"/>
        <w:gridCol w:w="2331"/>
        <w:gridCol w:w="1301"/>
        <w:gridCol w:w="2090"/>
        <w:gridCol w:w="4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350" w:type="pct"/>
            <w:noWrap w:val="0"/>
            <w:vAlign w:val="center"/>
          </w:tcPr>
          <w:p>
            <w:pPr>
              <w:spacing w:line="360" w:lineRule="auto"/>
              <w:ind w:left="0" w:leftChars="0" w:right="240" w:firstLine="0" w:firstLineChars="0"/>
              <w:jc w:val="cente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包号</w:t>
            </w:r>
          </w:p>
        </w:tc>
        <w:tc>
          <w:tcPr>
            <w:tcW w:w="1080"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货物名称</w:t>
            </w:r>
          </w:p>
        </w:tc>
        <w:tc>
          <w:tcPr>
            <w:tcW w:w="603"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r>
              <w:rPr>
                <w:rFonts w:hint="eastAsia" w:ascii="仿宋" w:hAnsi="仿宋" w:eastAsia="仿宋" w:cs="仿宋"/>
                <w:color w:val="auto"/>
                <w:sz w:val="24"/>
                <w:szCs w:val="24"/>
                <w:highlight w:val="none"/>
                <w:lang w:eastAsia="zh-CN"/>
              </w:rPr>
              <w:t>宗</w:t>
            </w:r>
            <w:r>
              <w:rPr>
                <w:rFonts w:hint="eastAsia" w:ascii="仿宋" w:hAnsi="仿宋" w:eastAsia="仿宋" w:cs="仿宋"/>
                <w:color w:val="auto"/>
                <w:sz w:val="24"/>
                <w:szCs w:val="24"/>
                <w:highlight w:val="none"/>
              </w:rPr>
              <w:t>）</w:t>
            </w:r>
          </w:p>
        </w:tc>
        <w:tc>
          <w:tcPr>
            <w:tcW w:w="968" w:type="pct"/>
            <w:noWrap w:val="0"/>
            <w:vAlign w:val="center"/>
          </w:tcPr>
          <w:p>
            <w:pPr>
              <w:spacing w:line="360" w:lineRule="auto"/>
              <w:ind w:left="0" w:leftChars="0"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预算（万元）</w:t>
            </w:r>
          </w:p>
        </w:tc>
        <w:tc>
          <w:tcPr>
            <w:tcW w:w="1996" w:type="pct"/>
            <w:noWrap w:val="0"/>
            <w:vAlign w:val="center"/>
          </w:tcPr>
          <w:p>
            <w:pPr>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投标人资格要求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24" w:hRule="atLeast"/>
          <w:jc w:val="center"/>
        </w:trPr>
        <w:tc>
          <w:tcPr>
            <w:tcW w:w="350" w:type="pct"/>
            <w:noWrap w:val="0"/>
            <w:vAlign w:val="center"/>
          </w:tcPr>
          <w:p>
            <w:pPr>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A</w:t>
            </w:r>
          </w:p>
        </w:tc>
        <w:tc>
          <w:tcPr>
            <w:tcW w:w="1080"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扫频源广角血流（OCT）</w:t>
            </w:r>
          </w:p>
        </w:tc>
        <w:tc>
          <w:tcPr>
            <w:tcW w:w="603"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968" w:type="pct"/>
            <w:noWrap w:val="0"/>
            <w:vAlign w:val="center"/>
          </w:tcPr>
          <w:p>
            <w:pPr>
              <w:widowControl/>
              <w:ind w:left="0" w:leftChars="0" w:firstLine="0" w:firstLineChars="0"/>
              <w:jc w:val="center"/>
              <w:textAlignment w:val="bottom"/>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color w:val="auto"/>
                <w:sz w:val="24"/>
                <w:szCs w:val="24"/>
                <w:highlight w:val="none"/>
                <w:lang w:val="en-US" w:eastAsia="zh-CN"/>
              </w:rPr>
              <w:t>220</w:t>
            </w:r>
          </w:p>
        </w:tc>
        <w:tc>
          <w:tcPr>
            <w:tcW w:w="1996" w:type="pct"/>
            <w:vMerge w:val="restar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符合《中华人民共和国政府采购法》第二十二条规定；2、在“信用中国”网站（www.creditchina.gov.cn）、“信用中国（山东）”网站（www.creditsd.gov.cn）、“中国政府采购网”网站（www.ccgp.gov.cn）中被列入失信被执行人、重大税收违法案件当事人名单、政府采购严重违法失信行为记录名单的投标人，不得参加本次政府采购活动；</w:t>
            </w:r>
            <w:r>
              <w:rPr>
                <w:rFonts w:hint="eastAsia" w:ascii="仿宋" w:hAnsi="仿宋" w:eastAsia="仿宋" w:cs="仿宋"/>
                <w:color w:val="auto"/>
                <w:sz w:val="24"/>
                <w:szCs w:val="24"/>
                <w:highlight w:val="none"/>
                <w:lang w:val="en-US" w:eastAsia="zh-CN"/>
              </w:rPr>
              <w:t>3、进口产品需提供产品授权；（所投产品为进口产品的）4</w:t>
            </w:r>
            <w:r>
              <w:rPr>
                <w:rFonts w:hint="eastAsia" w:ascii="仿宋" w:hAnsi="仿宋" w:eastAsia="仿宋" w:cs="仿宋"/>
                <w:color w:val="auto"/>
                <w:sz w:val="24"/>
                <w:szCs w:val="24"/>
                <w:highlight w:val="none"/>
              </w:rPr>
              <w:t>、本项目不接受联合体投标。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jc w:val="center"/>
        </w:trPr>
        <w:tc>
          <w:tcPr>
            <w:tcW w:w="350" w:type="pct"/>
            <w:noWrap w:val="0"/>
            <w:vAlign w:val="center"/>
          </w:tcPr>
          <w:p>
            <w:pPr>
              <w:ind w:left="0" w:leftChars="0" w:firstLine="0" w:firstLineChars="0"/>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B</w:t>
            </w:r>
          </w:p>
        </w:tc>
        <w:tc>
          <w:tcPr>
            <w:tcW w:w="1080" w:type="pct"/>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数码裂隙照相等设备</w:t>
            </w:r>
          </w:p>
        </w:tc>
        <w:tc>
          <w:tcPr>
            <w:tcW w:w="603" w:type="pct"/>
            <w:noWrap w:val="0"/>
            <w:vAlign w:val="center"/>
          </w:tcPr>
          <w:p>
            <w:pPr>
              <w:widowControl/>
              <w:ind w:left="0" w:leftChars="0" w:firstLine="0" w:firstLineChars="0"/>
              <w:jc w:val="center"/>
              <w:textAlignment w:val="bottom"/>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详见技术参数</w:t>
            </w:r>
          </w:p>
        </w:tc>
        <w:tc>
          <w:tcPr>
            <w:tcW w:w="968" w:type="pct"/>
            <w:noWrap w:val="0"/>
            <w:vAlign w:val="center"/>
          </w:tcPr>
          <w:p>
            <w:pPr>
              <w:widowControl/>
              <w:ind w:left="0" w:leftChars="0" w:firstLine="0" w:firstLineChars="0"/>
              <w:jc w:val="center"/>
              <w:textAlignment w:val="bottom"/>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80</w:t>
            </w:r>
          </w:p>
        </w:tc>
        <w:tc>
          <w:tcPr>
            <w:tcW w:w="1996" w:type="pct"/>
            <w:vMerge w:val="continue"/>
            <w:noWrap w:val="0"/>
            <w:vAlign w:val="center"/>
          </w:tcPr>
          <w:p>
            <w:pPr>
              <w:spacing w:line="360" w:lineRule="auto"/>
              <w:ind w:left="0" w:leftChars="0" w:firstLine="0" w:firstLineChars="0"/>
              <w:jc w:val="left"/>
              <w:rPr>
                <w:rFonts w:hint="eastAsia" w:ascii="仿宋" w:hAnsi="仿宋" w:eastAsia="仿宋" w:cs="仿宋"/>
                <w:color w:val="auto"/>
                <w:sz w:val="24"/>
                <w:szCs w:val="24"/>
                <w:highlight w:val="none"/>
              </w:rPr>
            </w:pPr>
          </w:p>
        </w:tc>
      </w:tr>
    </w:tbl>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三</w:t>
      </w:r>
      <w:r>
        <w:rPr>
          <w:rFonts w:hint="eastAsia" w:ascii="仿宋" w:hAnsi="仿宋" w:eastAsia="仿宋" w:cs="仿宋"/>
          <w:b/>
          <w:color w:val="auto"/>
          <w:highlight w:val="none"/>
        </w:rPr>
        <w:t>、招标文件发售的时间、地点、售价及方式</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1、时间：202</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6</w:t>
      </w:r>
      <w:r>
        <w:rPr>
          <w:rFonts w:hint="eastAsia" w:ascii="仿宋" w:hAnsi="仿宋" w:eastAsia="仿宋" w:cs="仿宋"/>
          <w:color w:val="auto"/>
          <w:highlight w:val="none"/>
        </w:rPr>
        <w:t>日至202</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7</w:t>
      </w:r>
      <w:r>
        <w:rPr>
          <w:rFonts w:hint="eastAsia" w:ascii="仿宋" w:hAnsi="仿宋" w:eastAsia="仿宋" w:cs="仿宋"/>
          <w:color w:val="auto"/>
          <w:highlight w:val="none"/>
        </w:rPr>
        <w:t>月</w:t>
      </w:r>
      <w:r>
        <w:rPr>
          <w:rFonts w:hint="eastAsia" w:ascii="仿宋" w:hAnsi="仿宋" w:cs="仿宋"/>
          <w:color w:val="auto"/>
          <w:highlight w:val="none"/>
          <w:lang w:val="en-US" w:eastAsia="zh-CN"/>
        </w:rPr>
        <w:t>12</w:t>
      </w:r>
      <w:r>
        <w:rPr>
          <w:rFonts w:hint="eastAsia" w:ascii="仿宋" w:hAnsi="仿宋" w:eastAsia="仿宋" w:cs="仿宋"/>
          <w:color w:val="auto"/>
          <w:highlight w:val="none"/>
        </w:rPr>
        <w:t>日，每天8:30-12:00、13:30-1</w:t>
      </w:r>
      <w:r>
        <w:rPr>
          <w:rFonts w:hint="eastAsia" w:ascii="仿宋" w:hAnsi="仿宋" w:eastAsia="仿宋" w:cs="仿宋"/>
          <w:color w:val="auto"/>
          <w:highlight w:val="none"/>
          <w:lang w:val="en-US" w:eastAsia="zh-CN"/>
        </w:rPr>
        <w:t>6</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0（节假日除外）。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2、地点：</w:t>
      </w:r>
      <w:r>
        <w:rPr>
          <w:rFonts w:hint="eastAsia" w:ascii="仿宋" w:hAnsi="仿宋" w:eastAsia="仿宋" w:cs="仿宋"/>
          <w:color w:val="auto"/>
          <w:sz w:val="24"/>
          <w:highlight w:val="none"/>
        </w:rPr>
        <w:t>济南市历下区经十路13777号中润世纪广场18号楼603</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山东华仁永旺招标有限公司</w:t>
      </w:r>
      <w:r>
        <w:rPr>
          <w:rFonts w:hint="eastAsia" w:ascii="仿宋" w:hAnsi="仿宋" w:eastAsia="仿宋" w:cs="仿宋"/>
          <w:color w:val="auto"/>
          <w:highlight w:val="none"/>
        </w:rPr>
        <w:t>)。</w:t>
      </w:r>
    </w:p>
    <w:p>
      <w:pPr>
        <w:widowControl/>
        <w:spacing w:line="480" w:lineRule="exac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报名备案登记方式：凡有意参加本次政府采购的供应商必须在中国山东政府采购网（http://www.ccgp-shandong.gov.cn）进行注册并报名，网站报名成功后携带营业执照复印件、授权委托书（格式自拟）</w:t>
      </w:r>
      <w:r>
        <w:rPr>
          <w:rFonts w:hint="eastAsia" w:ascii="仿宋" w:hAnsi="仿宋" w:eastAsia="仿宋" w:cs="仿宋"/>
          <w:color w:val="auto"/>
          <w:sz w:val="24"/>
          <w:highlight w:val="none"/>
          <w:lang w:eastAsia="zh-CN"/>
        </w:rPr>
        <w:t>、</w:t>
      </w:r>
      <w:r>
        <w:rPr>
          <w:rFonts w:hint="eastAsia" w:ascii="仿宋" w:hAnsi="仿宋" w:eastAsia="仿宋" w:cs="仿宋"/>
          <w:color w:val="auto"/>
          <w:sz w:val="24"/>
          <w:szCs w:val="24"/>
          <w:highlight w:val="none"/>
          <w:lang w:val="en-US" w:eastAsia="zh-CN"/>
        </w:rPr>
        <w:t>进口产品需提供产品授权（所投产品为进口产品的）</w:t>
      </w:r>
      <w:r>
        <w:rPr>
          <w:rFonts w:hint="eastAsia" w:ascii="仿宋" w:hAnsi="仿宋" w:eastAsia="仿宋" w:cs="仿宋"/>
          <w:color w:val="auto"/>
          <w:sz w:val="24"/>
          <w:highlight w:val="none"/>
          <w:lang w:eastAsia="zh-CN"/>
        </w:rPr>
        <w:t>等材料</w:t>
      </w:r>
      <w:r>
        <w:rPr>
          <w:rFonts w:hint="eastAsia" w:ascii="仿宋" w:hAnsi="仿宋" w:eastAsia="仿宋" w:cs="仿宋"/>
          <w:color w:val="auto"/>
          <w:sz w:val="24"/>
          <w:highlight w:val="none"/>
        </w:rPr>
        <w:t>盖章前来招标代理机构现场报名或邮箱报名（联系电话：</w:t>
      </w:r>
      <w:r>
        <w:rPr>
          <w:rFonts w:hint="eastAsia" w:ascii="仿宋" w:hAnsi="仿宋" w:eastAsia="仿宋" w:cs="仿宋"/>
          <w:color w:val="auto"/>
          <w:sz w:val="24"/>
          <w:highlight w:val="none"/>
          <w:lang w:val="en-US" w:eastAsia="zh-CN"/>
        </w:rPr>
        <w:t>19861051518</w:t>
      </w:r>
      <w:r>
        <w:rPr>
          <w:rFonts w:hint="eastAsia" w:ascii="仿宋" w:hAnsi="仿宋" w:eastAsia="仿宋" w:cs="仿宋"/>
          <w:color w:val="auto"/>
          <w:sz w:val="24"/>
          <w:highlight w:val="none"/>
        </w:rPr>
        <w:t>，邮箱</w:t>
      </w:r>
      <w:r>
        <w:rPr>
          <w:rFonts w:hint="eastAsia" w:ascii="仿宋" w:hAnsi="仿宋" w:eastAsia="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eastAsia="仿宋" w:cs="仿宋"/>
          <w:b/>
          <w:bCs/>
          <w:color w:val="auto"/>
          <w:sz w:val="24"/>
          <w:highlight w:val="none"/>
          <w:lang w:val="en-US" w:eastAsia="zh-CN"/>
        </w:rPr>
        <w:t>23-145报名费+包号</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投标人最终资格的确认以评审小组的资格后审为准。标书售出不退。招标文件售价：</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00 元/包</w:t>
      </w:r>
    </w:p>
    <w:p>
      <w:pPr>
        <w:spacing w:line="360" w:lineRule="auto"/>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rPr>
        <w:t>地点：济南市历下区经十路13777号中润世纪广场18号楼603</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四</w:t>
      </w:r>
      <w:r>
        <w:rPr>
          <w:rFonts w:hint="eastAsia" w:ascii="仿宋" w:hAnsi="仿宋" w:eastAsia="仿宋" w:cs="仿宋"/>
          <w:b/>
          <w:color w:val="auto"/>
          <w:highlight w:val="none"/>
        </w:rPr>
        <w:t>、投标文件的递交</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1、递交投标文件时间：202</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8</w:t>
      </w:r>
      <w:r>
        <w:rPr>
          <w:rFonts w:hint="eastAsia" w:ascii="仿宋" w:hAnsi="仿宋" w:eastAsia="仿宋" w:cs="仿宋"/>
          <w:color w:val="auto"/>
          <w:highlight w:val="none"/>
        </w:rPr>
        <w:t>月</w:t>
      </w:r>
      <w:r>
        <w:rPr>
          <w:rFonts w:hint="eastAsia" w:ascii="仿宋" w:hAnsi="仿宋" w:cs="仿宋"/>
          <w:color w:val="auto"/>
          <w:highlight w:val="none"/>
          <w:lang w:val="en-US" w:eastAsia="zh-CN"/>
        </w:rPr>
        <w:t>1</w:t>
      </w:r>
      <w:r>
        <w:rPr>
          <w:rFonts w:hint="eastAsia" w:ascii="仿宋" w:hAnsi="仿宋" w:eastAsia="仿宋" w:cs="仿宋"/>
          <w:color w:val="auto"/>
          <w:highlight w:val="none"/>
        </w:rPr>
        <w:t>日</w:t>
      </w:r>
      <w:r>
        <w:rPr>
          <w:rFonts w:hint="eastAsia" w:ascii="仿宋" w:hAnsi="仿宋" w:eastAsia="仿宋" w:cs="仿宋"/>
          <w:color w:val="auto"/>
          <w:highlight w:val="none"/>
          <w:lang w:val="en-US" w:eastAsia="zh-CN"/>
        </w:rPr>
        <w:t>08</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0-</w:t>
      </w:r>
      <w:r>
        <w:rPr>
          <w:rFonts w:hint="eastAsia" w:ascii="仿宋" w:hAnsi="仿宋" w:eastAsia="仿宋" w:cs="仿宋"/>
          <w:color w:val="auto"/>
          <w:highlight w:val="none"/>
          <w:lang w:val="en-US" w:eastAsia="zh-CN"/>
        </w:rPr>
        <w:t>09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2、递交投标文件截止时间和开标时间：202</w:t>
      </w:r>
      <w:r>
        <w:rPr>
          <w:rFonts w:hint="eastAsia" w:ascii="仿宋" w:hAnsi="仿宋" w:eastAsia="仿宋" w:cs="仿宋"/>
          <w:color w:val="auto"/>
          <w:highlight w:val="none"/>
          <w:lang w:val="en-US" w:eastAsia="zh-CN"/>
        </w:rPr>
        <w:t>3</w:t>
      </w:r>
      <w:r>
        <w:rPr>
          <w:rFonts w:hint="eastAsia" w:ascii="仿宋" w:hAnsi="仿宋" w:eastAsia="仿宋" w:cs="仿宋"/>
          <w:color w:val="auto"/>
          <w:highlight w:val="none"/>
        </w:rPr>
        <w:t>年</w:t>
      </w:r>
      <w:r>
        <w:rPr>
          <w:rFonts w:hint="eastAsia" w:ascii="仿宋" w:hAnsi="仿宋" w:cs="仿宋"/>
          <w:color w:val="auto"/>
          <w:highlight w:val="none"/>
          <w:lang w:val="en-US" w:eastAsia="zh-CN"/>
        </w:rPr>
        <w:t>8</w:t>
      </w:r>
      <w:r>
        <w:rPr>
          <w:rFonts w:hint="eastAsia" w:ascii="仿宋" w:hAnsi="仿宋" w:eastAsia="仿宋" w:cs="仿宋"/>
          <w:color w:val="auto"/>
          <w:highlight w:val="none"/>
        </w:rPr>
        <w:t>月</w:t>
      </w:r>
      <w:r>
        <w:rPr>
          <w:rFonts w:hint="eastAsia" w:ascii="仿宋" w:hAnsi="仿宋" w:cs="仿宋"/>
          <w:color w:val="auto"/>
          <w:highlight w:val="none"/>
          <w:lang w:val="en-US" w:eastAsia="zh-CN"/>
        </w:rPr>
        <w:t>1</w:t>
      </w:r>
      <w:r>
        <w:rPr>
          <w:rFonts w:hint="eastAsia" w:ascii="仿宋" w:hAnsi="仿宋" w:eastAsia="仿宋" w:cs="仿宋"/>
          <w:color w:val="auto"/>
          <w:highlight w:val="none"/>
        </w:rPr>
        <w:t>日0</w:t>
      </w:r>
      <w:r>
        <w:rPr>
          <w:rFonts w:hint="eastAsia" w:ascii="仿宋" w:hAnsi="仿宋" w:eastAsia="仿宋" w:cs="仿宋"/>
          <w:color w:val="auto"/>
          <w:highlight w:val="none"/>
          <w:lang w:val="en-US" w:eastAsia="zh-CN"/>
        </w:rPr>
        <w:t>9</w:t>
      </w:r>
      <w:r>
        <w:rPr>
          <w:rFonts w:hint="eastAsia" w:ascii="仿宋" w:hAnsi="仿宋" w:eastAsia="仿宋" w:cs="仿宋"/>
          <w:color w:val="auto"/>
          <w:highlight w:val="none"/>
        </w:rPr>
        <w:t>:</w:t>
      </w:r>
      <w:r>
        <w:rPr>
          <w:rFonts w:hint="eastAsia" w:ascii="仿宋" w:hAnsi="仿宋" w:eastAsia="仿宋" w:cs="仿宋"/>
          <w:color w:val="auto"/>
          <w:highlight w:val="none"/>
          <w:lang w:val="en-US" w:eastAsia="zh-CN"/>
        </w:rPr>
        <w:t>0</w:t>
      </w:r>
      <w:r>
        <w:rPr>
          <w:rFonts w:hint="eastAsia" w:ascii="仿宋" w:hAnsi="仿宋" w:eastAsia="仿宋" w:cs="仿宋"/>
          <w:color w:val="auto"/>
          <w:highlight w:val="none"/>
        </w:rPr>
        <w:t>0（北京时间），逾期递交的投标文件不予接受。</w:t>
      </w:r>
    </w:p>
    <w:p>
      <w:pPr>
        <w:pStyle w:val="33"/>
        <w:spacing w:line="360" w:lineRule="auto"/>
        <w:ind w:firstLine="480"/>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3、递交投标文件和开标地点：</w:t>
      </w:r>
      <w:r>
        <w:rPr>
          <w:rFonts w:hint="eastAsia" w:ascii="仿宋" w:hAnsi="仿宋" w:eastAsia="仿宋" w:cs="仿宋"/>
          <w:color w:val="auto"/>
          <w:kern w:val="0"/>
          <w:highlight w:val="none"/>
        </w:rPr>
        <w:t>山东省济南市历下区经十路13777号中润世纪广场18号楼603</w:t>
      </w:r>
      <w:r>
        <w:rPr>
          <w:rFonts w:hint="eastAsia" w:ascii="仿宋" w:hAnsi="仿宋" w:eastAsia="仿宋" w:cs="仿宋"/>
          <w:color w:val="auto"/>
          <w:kern w:val="0"/>
          <w:highlight w:val="none"/>
          <w:lang w:val="en-US" w:eastAsia="zh-CN"/>
        </w:rPr>
        <w:t>A</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五</w:t>
      </w:r>
      <w:r>
        <w:rPr>
          <w:rFonts w:hint="eastAsia" w:ascii="仿宋" w:hAnsi="仿宋" w:eastAsia="仿宋" w:cs="仿宋"/>
          <w:b/>
          <w:color w:val="auto"/>
          <w:highlight w:val="none"/>
        </w:rPr>
        <w:t>、采购人信息</w:t>
      </w:r>
    </w:p>
    <w:p>
      <w:pPr>
        <w:pStyle w:val="33"/>
        <w:spacing w:line="360" w:lineRule="auto"/>
        <w:ind w:firstLine="480"/>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山东第一医科大学（山东省医学科学院）</w:t>
      </w:r>
    </w:p>
    <w:p>
      <w:pPr>
        <w:pStyle w:val="33"/>
        <w:spacing w:line="360" w:lineRule="auto"/>
        <w:ind w:firstLine="482"/>
        <w:rPr>
          <w:rFonts w:hint="eastAsia" w:ascii="仿宋" w:hAnsi="仿宋" w:eastAsia="仿宋" w:cs="仿宋"/>
          <w:b/>
          <w:color w:val="auto"/>
          <w:highlight w:val="none"/>
        </w:rPr>
      </w:pPr>
      <w:r>
        <w:rPr>
          <w:rFonts w:hint="eastAsia" w:ascii="仿宋" w:hAnsi="仿宋" w:eastAsia="仿宋" w:cs="仿宋"/>
          <w:b/>
          <w:color w:val="auto"/>
          <w:highlight w:val="none"/>
          <w:lang w:eastAsia="zh-CN"/>
        </w:rPr>
        <w:t>六</w:t>
      </w:r>
      <w:r>
        <w:rPr>
          <w:rFonts w:hint="eastAsia" w:ascii="仿宋" w:hAnsi="仿宋" w:eastAsia="仿宋" w:cs="仿宋"/>
          <w:b/>
          <w:color w:val="auto"/>
          <w:highlight w:val="none"/>
        </w:rPr>
        <w:t>、采购代理机构信息</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1、名称：</w:t>
      </w:r>
      <w:r>
        <w:rPr>
          <w:rFonts w:hint="eastAsia" w:ascii="仿宋" w:hAnsi="仿宋" w:eastAsia="仿宋" w:cs="仿宋"/>
          <w:color w:val="auto"/>
          <w:highlight w:val="none"/>
          <w:lang w:eastAsia="zh-CN"/>
        </w:rPr>
        <w:t>山东华仁永旺招标有限公司</w:t>
      </w:r>
    </w:p>
    <w:p>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2、地址：</w:t>
      </w:r>
      <w:r>
        <w:rPr>
          <w:rFonts w:hint="eastAsia" w:ascii="仿宋" w:hAnsi="仿宋" w:eastAsia="仿宋" w:cs="仿宋"/>
          <w:color w:val="auto"/>
          <w:sz w:val="24"/>
          <w:highlight w:val="none"/>
        </w:rPr>
        <w:t>济南市历下区经十路13777号中润世纪广场18号楼603</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rPr>
        <w:t>3、项目联系人：</w:t>
      </w:r>
      <w:r>
        <w:rPr>
          <w:rFonts w:hint="eastAsia" w:ascii="仿宋" w:hAnsi="仿宋" w:eastAsia="仿宋" w:cs="仿宋"/>
          <w:color w:val="auto"/>
          <w:highlight w:val="none"/>
          <w:lang w:eastAsia="zh-CN"/>
        </w:rPr>
        <w:t>于美玲</w:t>
      </w:r>
      <w:r>
        <w:rPr>
          <w:rFonts w:hint="eastAsia" w:ascii="仿宋" w:hAnsi="仿宋" w:eastAsia="仿宋" w:cs="仿宋"/>
          <w:color w:val="auto"/>
          <w:highlight w:val="none"/>
        </w:rPr>
        <w:t>、</w:t>
      </w:r>
      <w:r>
        <w:rPr>
          <w:rFonts w:hint="eastAsia" w:ascii="仿宋" w:hAnsi="仿宋" w:eastAsia="仿宋" w:cs="仿宋"/>
          <w:color w:val="auto"/>
          <w:highlight w:val="none"/>
          <w:lang w:eastAsia="zh-CN"/>
        </w:rPr>
        <w:t>葛东银</w:t>
      </w:r>
    </w:p>
    <w:p>
      <w:pPr>
        <w:pStyle w:val="33"/>
        <w:keepNext w:val="0"/>
        <w:keepLines w:val="0"/>
        <w:pageBreakBefore w:val="0"/>
        <w:widowControl w:val="0"/>
        <w:kinsoku/>
        <w:wordWrap/>
        <w:overflowPunct/>
        <w:topLinePunct w:val="0"/>
        <w:autoSpaceDE/>
        <w:autoSpaceDN/>
        <w:bidi w:val="0"/>
        <w:adjustRightInd/>
        <w:snapToGrid/>
        <w:spacing w:line="480" w:lineRule="auto"/>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rPr>
        <w:t>4、</w:t>
      </w:r>
      <w:r>
        <w:rPr>
          <w:rFonts w:hint="eastAsia" w:ascii="仿宋" w:hAnsi="仿宋" w:eastAsia="仿宋" w:cs="仿宋"/>
          <w:color w:val="auto"/>
          <w:highlight w:val="none"/>
          <w:lang w:eastAsia="zh-CN"/>
        </w:rPr>
        <w:t>联系电话</w:t>
      </w:r>
      <w:r>
        <w:rPr>
          <w:rFonts w:hint="eastAsia" w:ascii="仿宋" w:hAnsi="仿宋" w:eastAsia="仿宋" w:cs="仿宋"/>
          <w:color w:val="auto"/>
          <w:highlight w:val="none"/>
        </w:rPr>
        <w:t>：</w:t>
      </w:r>
      <w:r>
        <w:rPr>
          <w:rFonts w:hint="eastAsia" w:ascii="仿宋" w:hAnsi="仿宋" w:eastAsia="仿宋" w:cs="仿宋"/>
          <w:color w:val="auto"/>
          <w:sz w:val="24"/>
          <w:highlight w:val="none"/>
          <w:lang w:val="en-US" w:eastAsia="zh-CN"/>
        </w:rPr>
        <w:t>19861051518、15650010801</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ind w:left="0" w:leftChars="0" w:firstLine="0" w:firstLineChars="0"/>
        <w:jc w:val="center"/>
        <w:rPr>
          <w:rFonts w:hint="eastAsia" w:ascii="仿宋" w:hAnsi="仿宋" w:eastAsia="仿宋" w:cs="仿宋"/>
          <w:b/>
          <w:color w:val="auto"/>
          <w:sz w:val="32"/>
          <w:szCs w:val="32"/>
          <w:highlight w:val="none"/>
        </w:rPr>
      </w:pPr>
      <w:bookmarkStart w:id="2" w:name="_Toc106784519"/>
      <w:bookmarkStart w:id="3" w:name="_Toc106784592"/>
      <w:bookmarkStart w:id="4" w:name="_Toc69110203"/>
      <w:r>
        <w:rPr>
          <w:rFonts w:hint="eastAsia" w:ascii="仿宋" w:hAnsi="仿宋" w:eastAsia="仿宋" w:cs="仿宋"/>
          <w:b/>
          <w:color w:val="auto"/>
          <w:sz w:val="32"/>
          <w:szCs w:val="32"/>
          <w:highlight w:val="none"/>
        </w:rPr>
        <w:t>第六部分投标人须知附表</w:t>
      </w:r>
      <w:bookmarkEnd w:id="2"/>
      <w:bookmarkEnd w:id="3"/>
      <w:bookmarkEnd w:id="4"/>
    </w:p>
    <w:tbl>
      <w:tblPr>
        <w:tblStyle w:val="23"/>
        <w:tblW w:w="5000"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650"/>
        <w:gridCol w:w="1685"/>
        <w:gridCol w:w="736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335"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869"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内容</w:t>
            </w:r>
          </w:p>
        </w:tc>
        <w:tc>
          <w:tcPr>
            <w:tcW w:w="3796" w:type="pct"/>
            <w:vAlign w:val="center"/>
          </w:tcPr>
          <w:p>
            <w:pPr>
              <w:adjustRightInd w:val="0"/>
              <w:snapToGrid w:val="0"/>
              <w:spacing w:line="240" w:lineRule="auto"/>
              <w:ind w:firstLine="0" w:firstLineChars="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名称：</w:t>
            </w:r>
            <w:r>
              <w:rPr>
                <w:rFonts w:hint="eastAsia" w:ascii="仿宋" w:hAnsi="仿宋" w:eastAsia="仿宋" w:cs="仿宋"/>
                <w:color w:val="auto"/>
                <w:szCs w:val="24"/>
                <w:highlight w:val="none"/>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名称：</w:t>
            </w:r>
            <w:r>
              <w:rPr>
                <w:rFonts w:hint="eastAsia" w:ascii="仿宋" w:hAnsi="仿宋" w:eastAsia="仿宋" w:cs="仿宋"/>
                <w:color w:val="auto"/>
                <w:highlight w:val="none"/>
                <w:lang w:eastAsia="zh-CN"/>
              </w:rPr>
              <w:t>山东华仁永旺招标有限公司</w:t>
            </w:r>
          </w:p>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rPr>
              <w:t>地址：</w:t>
            </w:r>
            <w:r>
              <w:rPr>
                <w:rFonts w:hint="eastAsia" w:ascii="仿宋" w:hAnsi="仿宋" w:eastAsia="仿宋" w:cs="仿宋"/>
                <w:color w:val="auto"/>
                <w:highlight w:val="none"/>
                <w:lang w:eastAsia="zh-CN"/>
              </w:rPr>
              <w:t>济南市历下区经十路13777号中润世纪广场18号楼603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95"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投标人特定资格要求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24"/>
                <w:szCs w:val="24"/>
                <w:highlight w:val="none"/>
                <w:lang w:eastAsia="zh-CN"/>
              </w:rPr>
              <w:t>进口产品需提供制造商的授权书或经销证明（授权能追溯到厂家）（若采进口产品的需提供）</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计划编号</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default" w:ascii="仿宋" w:hAnsi="仿宋" w:eastAsia="仿宋" w:cs="仿宋"/>
                <w:color w:val="auto"/>
                <w:highlight w:val="none"/>
                <w:lang w:val="en-US" w:eastAsia="zh-CN"/>
              </w:rPr>
            </w:pPr>
            <w:r>
              <w:rPr>
                <w:rFonts w:hint="eastAsia" w:ascii="仿宋" w:hAnsi="仿宋" w:cs="仿宋"/>
                <w:color w:val="auto"/>
                <w:highlight w:val="none"/>
                <w:lang w:val="en-US" w:eastAsia="zh-CN"/>
              </w:rPr>
              <w:t>37000000014006520230144</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rPr>
              <w:t>资金性质</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lang w:val="en-US" w:eastAsia="zh-CN"/>
              </w:rPr>
              <w:t>已落实</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采购方式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公开招标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疑问</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投标人有疑问需要采购人解答的须在招标文件发售截止次日12:00之前发送到</w:t>
            </w:r>
            <w:r>
              <w:rPr>
                <w:rFonts w:hint="eastAsia" w:ascii="仿宋" w:hAnsi="仿宋" w:eastAsia="仿宋" w:cs="仿宋"/>
                <w:color w:val="auto"/>
                <w:highlight w:val="none"/>
                <w:lang w:eastAsia="zh-CN"/>
              </w:rPr>
              <w:t>sdhryw@126.com</w:t>
            </w:r>
            <w:r>
              <w:rPr>
                <w:rFonts w:hint="eastAsia" w:ascii="仿宋" w:hAnsi="仿宋" w:eastAsia="仿宋" w:cs="仿宋"/>
                <w:color w:val="auto"/>
                <w:highlight w:val="none"/>
              </w:rPr>
              <w:t>，注明邮件主题为XXX公司关于XXX项目X包的疑问，并电话告知采购代理机构（0531-</w:t>
            </w:r>
            <w:r>
              <w:rPr>
                <w:rFonts w:hint="eastAsia" w:ascii="仿宋" w:hAnsi="仿宋" w:eastAsia="仿宋" w:cs="仿宋"/>
                <w:color w:val="auto"/>
                <w:highlight w:val="none"/>
                <w:lang w:val="en-US" w:eastAsia="zh-CN"/>
              </w:rPr>
              <w:t>88589238</w:t>
            </w:r>
            <w:r>
              <w:rPr>
                <w:rFonts w:hint="eastAsia" w:ascii="仿宋" w:hAnsi="仿宋" w:eastAsia="仿宋" w:cs="仿宋"/>
                <w:color w:val="auto"/>
                <w:highlight w:val="none"/>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投标有效期</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040"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是否专门面向中小微企业采购</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中小企业划分标准中采购标的所属行业</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是否允许分包、转包</w:t>
            </w:r>
          </w:p>
        </w:tc>
        <w:tc>
          <w:tcPr>
            <w:tcW w:w="3796" w:type="pct"/>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是</w:t>
            </w: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12</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备选方案</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不允许</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szCs w:val="24"/>
                <w:highlight w:val="none"/>
              </w:rPr>
              <w:t>允许，备选投标方案的编制要求、评标办法：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13</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样品要求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详见技术参数要求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14</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演示要求</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不需演示</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踏勘现场</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 w:val="36"/>
                <w:highlight w:val="none"/>
                <w:lang w:eastAsia="zh-CN"/>
              </w:rPr>
              <w:t>☑</w:t>
            </w:r>
            <w:r>
              <w:rPr>
                <w:rFonts w:hint="eastAsia" w:ascii="仿宋" w:hAnsi="仿宋" w:eastAsia="仿宋" w:cs="仿宋"/>
                <w:color w:val="auto"/>
                <w:highlight w:val="none"/>
              </w:rPr>
              <w:t>不组织</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36"/>
                <w:highlight w:val="none"/>
              </w:rPr>
              <w:t>□</w:t>
            </w:r>
            <w:r>
              <w:rPr>
                <w:rFonts w:hint="eastAsia" w:ascii="仿宋" w:hAnsi="仿宋" w:eastAsia="仿宋" w:cs="仿宋"/>
                <w:color w:val="auto"/>
                <w:highlight w:val="none"/>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报价方式</w:t>
            </w:r>
          </w:p>
        </w:tc>
        <w:tc>
          <w:tcPr>
            <w:tcW w:w="3796" w:type="pct"/>
            <w:vAlign w:val="center"/>
          </w:tcPr>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1、本项目为交钥匙工程。</w:t>
            </w:r>
          </w:p>
          <w:p>
            <w:pPr>
              <w:adjustRightInd w:val="0"/>
              <w:snapToGrid w:val="0"/>
              <w:spacing w:line="240" w:lineRule="auto"/>
              <w:ind w:firstLine="0" w:firstLineChars="0"/>
              <w:rPr>
                <w:rFonts w:hint="eastAsia" w:ascii="仿宋" w:hAnsi="仿宋" w:eastAsia="仿宋" w:cs="仿宋"/>
                <w:b/>
                <w:bCs/>
                <w:color w:val="auto"/>
                <w:highlight w:val="none"/>
              </w:rPr>
            </w:pPr>
            <w:r>
              <w:rPr>
                <w:rFonts w:hint="eastAsia" w:ascii="仿宋" w:hAnsi="仿宋" w:eastAsia="仿宋" w:cs="仿宋"/>
                <w:b/>
                <w:bCs/>
                <w:color w:val="auto"/>
                <w:highlight w:val="none"/>
              </w:rPr>
              <w:t xml:space="preserve">2、国产、进口设备：人民币完税报价； </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3、本项目采用全费用报价方式，投标人在报价时应充分考虑市场环境和生产要素价格变化对合同价的影响，可考虑一定的风险系数；所填报价格在合同实施间不因市场变化（或政策性）因素而变动。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投标人填报的全费用报价包括为完成招标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中标服务费等所有费用的总和。上述费用均摊在各子项单价中，不单独结算。</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上述费用描述须包括所有采购材料到指定交货地点的所有费用，采购人不支付除投标人报价的任何附加费用。</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b/>
                <w:bCs/>
                <w:color w:val="auto"/>
                <w:highlight w:val="none"/>
              </w:rPr>
              <w:t>4、凡投标人在报价中未列的项目或遗漏项目，采购人将一律视为已包括在其报价中，在合同执行中将不予考虑。投标人应根据现场实际情况进行复核服务需求，如服务需求调整视为投标人风险自担，采购人将不再采购报价外追加费用</w:t>
            </w:r>
            <w:r>
              <w:rPr>
                <w:rFonts w:hint="eastAsia" w:ascii="仿宋" w:hAnsi="仿宋" w:eastAsia="仿宋" w:cs="仿宋"/>
                <w:color w:val="auto"/>
                <w:highlight w:val="non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质保期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详见招标文件“第八部分技术要求及说明”具体要求</w:t>
            </w:r>
            <w:r>
              <w:rPr>
                <w:rFonts w:hint="eastAsia" w:ascii="仿宋" w:hAnsi="仿宋" w:eastAsia="仿宋" w:cs="仿宋"/>
                <w:color w:val="auto"/>
                <w:kern w:val="0"/>
                <w:szCs w:val="24"/>
                <w:highlight w:val="none"/>
                <w:lang w:eastAsia="zh-CN"/>
              </w:rPr>
              <w:t>；</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投标人可根据自身实际情况自报最长质保期。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供货期</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highlight w:val="none"/>
              </w:rPr>
              <w:t>投标人可根据自身实际情况自报最短供货期</w:t>
            </w:r>
            <w:r>
              <w:rPr>
                <w:rFonts w:hint="eastAsia" w:ascii="仿宋" w:hAnsi="仿宋" w:eastAsia="仿宋" w:cs="仿宋"/>
                <w:color w:val="auto"/>
                <w:highlight w:val="none"/>
                <w:lang w:eastAsia="zh-CN"/>
              </w:rPr>
              <w:t>（需写明具体天数）</w:t>
            </w:r>
            <w:r>
              <w:rPr>
                <w:rFonts w:hint="eastAsia" w:ascii="仿宋" w:hAnsi="仿宋" w:eastAsia="仿宋" w:cs="仿宋"/>
                <w:color w:val="auto"/>
                <w:highlight w:val="none"/>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19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交货地点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投标保证金</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根据鲁财采【2019】40号规定，本项目不向诚信记录良好的投标人收取投标保证金。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676"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21</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付款方式及履约保证金</w:t>
            </w:r>
          </w:p>
        </w:tc>
        <w:tc>
          <w:tcPr>
            <w:tcW w:w="3796" w:type="pct"/>
            <w:vAlign w:val="center"/>
          </w:tcPr>
          <w:p>
            <w:pPr>
              <w:pStyle w:val="2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国产设备：合</w:t>
            </w:r>
            <w:r>
              <w:rPr>
                <w:rFonts w:hint="eastAsia" w:ascii="仿宋" w:hAnsi="仿宋" w:eastAsia="仿宋" w:cs="仿宋"/>
                <w:color w:val="auto"/>
                <w:sz w:val="24"/>
                <w:highlight w:val="none"/>
              </w:rPr>
              <w:t>同签订</w:t>
            </w:r>
            <w:r>
              <w:rPr>
                <w:rFonts w:hint="eastAsia" w:ascii="仿宋" w:hAnsi="仿宋" w:eastAsia="仿宋" w:cs="仿宋"/>
                <w:color w:val="auto"/>
                <w:sz w:val="24"/>
                <w:highlight w:val="none"/>
                <w:lang w:eastAsia="zh-CN"/>
              </w:rPr>
              <w:t>后</w:t>
            </w:r>
            <w:r>
              <w:rPr>
                <w:rFonts w:hint="eastAsia" w:ascii="仿宋" w:hAnsi="仿宋" w:eastAsia="仿宋" w:cs="仿宋"/>
                <w:color w:val="auto"/>
                <w:sz w:val="24"/>
                <w:highlight w:val="none"/>
              </w:rPr>
              <w:t>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0%的预付款，采购人确定后7个工作日内支付。项目验收合格、审计定案（若需要）后7个工作日内，支付剩余合同货款。</w:t>
            </w:r>
          </w:p>
          <w:p>
            <w:pPr>
              <w:pStyle w:val="22"/>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进口设备：合同签订</w:t>
            </w:r>
            <w:r>
              <w:rPr>
                <w:rFonts w:hint="eastAsia" w:ascii="仿宋" w:hAnsi="仿宋" w:eastAsia="仿宋" w:cs="仿宋"/>
                <w:color w:val="auto"/>
                <w:sz w:val="24"/>
                <w:highlight w:val="none"/>
                <w:lang w:eastAsia="zh-CN"/>
              </w:rPr>
              <w:t>后</w:t>
            </w:r>
            <w:r>
              <w:rPr>
                <w:rFonts w:hint="eastAsia" w:ascii="仿宋" w:hAnsi="仿宋" w:eastAsia="仿宋" w:cs="仿宋"/>
                <w:color w:val="auto"/>
                <w:sz w:val="24"/>
                <w:highlight w:val="none"/>
              </w:rPr>
              <w:t>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ind w:left="0" w:leftChars="0" w:firstLine="0" w:firstLineChars="0"/>
              <w:rPr>
                <w:rFonts w:hint="eastAsia" w:ascii="仿宋" w:hAnsi="仿宋" w:eastAsia="仿宋" w:cs="仿宋"/>
                <w:color w:val="auto"/>
                <w:highlight w:val="none"/>
              </w:rPr>
            </w:pPr>
            <w:r>
              <w:rPr>
                <w:rFonts w:hint="eastAsia" w:ascii="仿宋" w:hAnsi="仿宋" w:eastAsia="仿宋" w:cs="仿宋"/>
                <w:color w:val="auto"/>
                <w:sz w:val="24"/>
                <w:highlight w:val="none"/>
              </w:rPr>
              <w:t>外贸公司开具以中标人指定的国外生产商为受益人的不可撤销即期信用证，或货到后电汇。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投标文件格式</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按招标文件要求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投标文件组成、份数、密封要求</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正本一份，副本七份，报价一览表（一式三份），USB 接口设备存储的电子版投标文件一份（要求：可编辑WORD 版本、签字盖章的投标文件正本PDF 版本）。</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正本、副本、报价一览表、电子版投标文件分别单独密封。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关于递交原件的规定</w:t>
            </w:r>
          </w:p>
        </w:tc>
        <w:tc>
          <w:tcPr>
            <w:tcW w:w="3796" w:type="pct"/>
            <w:vAlign w:val="center"/>
          </w:tcPr>
          <w:p>
            <w:pPr>
              <w:pStyle w:val="5"/>
              <w:spacing w:before="0" w:after="0"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 w:val="24"/>
                <w:szCs w:val="20"/>
                <w:highlight w:val="none"/>
              </w:rPr>
              <w:t>业绩加分部分</w:t>
            </w:r>
            <w:r>
              <w:rPr>
                <w:rFonts w:hint="eastAsia" w:ascii="仿宋" w:hAnsi="仿宋" w:eastAsia="仿宋" w:cs="仿宋"/>
                <w:b w:val="0"/>
                <w:bCs w:val="0"/>
                <w:color w:val="auto"/>
                <w:sz w:val="24"/>
                <w:szCs w:val="20"/>
                <w:highlight w:val="none"/>
              </w:rPr>
              <w:t>：</w:t>
            </w:r>
            <w:r>
              <w:rPr>
                <w:rFonts w:hint="eastAsia" w:ascii="仿宋" w:hAnsi="仿宋" w:eastAsia="仿宋" w:cs="仿宋"/>
                <w:b w:val="0"/>
                <w:bCs w:val="0"/>
                <w:color w:val="auto"/>
                <w:sz w:val="24"/>
                <w:szCs w:val="20"/>
                <w:highlight w:val="none"/>
                <w:lang w:eastAsia="zh-CN"/>
              </w:rPr>
              <w:t>若要求提供原件的，</w:t>
            </w:r>
            <w:r>
              <w:rPr>
                <w:rFonts w:hint="eastAsia" w:ascii="仿宋" w:hAnsi="仿宋" w:eastAsia="仿宋" w:cs="仿宋"/>
                <w:b w:val="0"/>
                <w:bCs w:val="0"/>
                <w:color w:val="auto"/>
                <w:sz w:val="24"/>
                <w:szCs w:val="20"/>
                <w:highlight w:val="none"/>
              </w:rPr>
              <w:t>须提供合同原件（复印件加盖投标人公章胶装于投标文件），该合同不提供或提供不全不得分。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25</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递交投标文件的时间和地点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8</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1</w:t>
            </w:r>
            <w:r>
              <w:rPr>
                <w:rFonts w:hint="eastAsia" w:ascii="仿宋" w:hAnsi="仿宋" w:eastAsia="仿宋" w:cs="仿宋"/>
                <w:color w:val="auto"/>
                <w:szCs w:val="24"/>
                <w:highlight w:val="none"/>
              </w:rPr>
              <w:t>日</w:t>
            </w:r>
            <w:r>
              <w:rPr>
                <w:rFonts w:hint="eastAsia" w:ascii="仿宋" w:hAnsi="仿宋" w:eastAsia="仿宋" w:cs="仿宋"/>
                <w:color w:val="auto"/>
                <w:szCs w:val="24"/>
                <w:highlight w:val="none"/>
                <w:lang w:val="en-US" w:eastAsia="zh-CN"/>
              </w:rPr>
              <w:t>08</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0-0</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26</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开标时间和地点</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cs="仿宋"/>
                <w:color w:val="auto"/>
                <w:szCs w:val="24"/>
                <w:highlight w:val="none"/>
                <w:lang w:val="en-US" w:eastAsia="zh-CN"/>
              </w:rPr>
              <w:t>8</w:t>
            </w:r>
            <w:r>
              <w:rPr>
                <w:rFonts w:hint="eastAsia" w:ascii="仿宋" w:hAnsi="仿宋" w:eastAsia="仿宋" w:cs="仿宋"/>
                <w:color w:val="auto"/>
                <w:szCs w:val="24"/>
                <w:highlight w:val="none"/>
              </w:rPr>
              <w:t>月</w:t>
            </w:r>
            <w:r>
              <w:rPr>
                <w:rFonts w:hint="eastAsia" w:ascii="仿宋" w:hAnsi="仿宋" w:cs="仿宋"/>
                <w:color w:val="auto"/>
                <w:szCs w:val="24"/>
                <w:highlight w:val="none"/>
                <w:lang w:val="en-US" w:eastAsia="zh-CN"/>
              </w:rPr>
              <w:t>1</w:t>
            </w:r>
            <w:r>
              <w:rPr>
                <w:rFonts w:hint="eastAsia" w:ascii="仿宋" w:hAnsi="仿宋" w:eastAsia="仿宋" w:cs="仿宋"/>
                <w:color w:val="auto"/>
                <w:szCs w:val="24"/>
                <w:highlight w:val="none"/>
              </w:rPr>
              <w:t>日0</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0（北京时间）</w:t>
            </w:r>
          </w:p>
          <w:p>
            <w:pPr>
              <w:adjustRightInd w:val="0"/>
              <w:snapToGrid w:val="0"/>
              <w:spacing w:line="240" w:lineRule="auto"/>
              <w:ind w:firstLine="0" w:firstLineChars="0"/>
              <w:rPr>
                <w:rFonts w:hint="eastAsia" w:ascii="仿宋" w:hAnsi="仿宋" w:eastAsia="仿宋" w:cs="仿宋"/>
                <w:color w:val="auto"/>
                <w:highlight w:val="none"/>
              </w:rPr>
            </w:pPr>
            <w:r>
              <w:rPr>
                <w:rFonts w:hint="eastAsia" w:ascii="仿宋" w:hAnsi="仿宋" w:eastAsia="仿宋" w:cs="仿宋"/>
                <w:color w:val="auto"/>
                <w:szCs w:val="24"/>
                <w:highlight w:val="none"/>
              </w:rPr>
              <w:t>地点：济南市历下区经十路13777号中润世纪广场18号楼603A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27</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GB"/>
              </w:rPr>
              <w:t>检查投标文件的密封情况</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由监督人/公证机关/见证律师/投标人授权代表检查投标/投标文件密封情况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28</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中标服务费收取标准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中标人须在中标公告发出后5个工作日内向采购代理机构缴纳中标服务费，中标服务费以中标价格为计费基础，收费标准参照“计价格[2002]1980号”规定</w:t>
            </w:r>
            <w:r>
              <w:rPr>
                <w:rFonts w:hint="eastAsia" w:ascii="仿宋" w:hAnsi="仿宋" w:eastAsia="仿宋" w:cs="仿宋"/>
                <w:color w:val="auto"/>
                <w:szCs w:val="24"/>
                <w:highlight w:val="none"/>
                <w:lang w:val="en-US" w:eastAsia="zh-CN"/>
              </w:rPr>
              <w:t>70%</w:t>
            </w:r>
            <w:r>
              <w:rPr>
                <w:rFonts w:hint="eastAsia" w:ascii="仿宋" w:hAnsi="仿宋" w:eastAsia="仿宋" w:cs="仿宋"/>
                <w:color w:val="auto"/>
                <w:szCs w:val="24"/>
                <w:highlight w:val="none"/>
              </w:rPr>
              <w:t>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29</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见证律师费的收费标准</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中标人按中标金额1‰向公证机关/见证律师交纳公证费/见证律师费，不足500元，按500元收取。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技术部分评审依据内容</w:t>
            </w:r>
          </w:p>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（综合对比）</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1、制造商公开发布的印刷资料或彩页等；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2、检测机构出具的检测报告；</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3、技术响应表；</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4、投标详细技术描述、建设方案等；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tcBorders>
              <w:top w:val="single" w:color="auto" w:sz="6" w:space="0"/>
              <w:left w:val="double" w:color="auto" w:sz="4"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p>
        </w:tc>
        <w:tc>
          <w:tcPr>
            <w:tcW w:w="869" w:type="pct"/>
            <w:tcBorders>
              <w:top w:val="single" w:color="auto" w:sz="6" w:space="0"/>
              <w:left w:val="single" w:color="auto" w:sz="6" w:space="0"/>
              <w:bottom w:val="single" w:color="auto" w:sz="6" w:space="0"/>
              <w:right w:val="single" w:color="auto" w:sz="6" w:space="0"/>
            </w:tcBorders>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招标文件解释权</w:t>
            </w:r>
          </w:p>
        </w:tc>
        <w:tc>
          <w:tcPr>
            <w:tcW w:w="3796" w:type="pct"/>
            <w:tcBorders>
              <w:top w:val="single" w:color="auto" w:sz="6" w:space="0"/>
              <w:left w:val="single" w:color="auto" w:sz="6" w:space="0"/>
              <w:bottom w:val="single" w:color="auto" w:sz="6" w:space="0"/>
              <w:right w:val="double" w:color="auto" w:sz="4" w:space="0"/>
            </w:tcBorders>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本招标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32</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同一品牌产品相关问题</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提供相同品牌产品且通过资格审查、符合性审查的不同投标人参加同一合同项下投标的，按一家投标人计算，评审后得分最高的同品牌投标人获得中标人推荐资格。评审得分相同的，按投标报价由低到高顺序排列，得分且投标报价相同的，按技术指标优劣顺序排列。</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2、非单一产品采购项目中核心产品的确定原则：</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（1）第八部分技术要求及说明中规定核心产品的，以核心产品参照上述第1款的规定。</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（2）第八部分技术要求及说明中未规定核心产品的，多家代理商所投同一品牌产品价格总和均超过该项目投标总价50%的，适用于上述第1款的规定。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33</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lang w:val="en-GB"/>
              </w:rPr>
            </w:pPr>
            <w:r>
              <w:rPr>
                <w:rFonts w:hint="eastAsia" w:ascii="仿宋" w:hAnsi="仿宋" w:eastAsia="仿宋" w:cs="仿宋"/>
                <w:color w:val="auto"/>
                <w:szCs w:val="24"/>
                <w:highlight w:val="none"/>
                <w:lang w:val="en-GB"/>
              </w:rPr>
              <w:t>其他</w:t>
            </w:r>
          </w:p>
        </w:tc>
        <w:tc>
          <w:tcPr>
            <w:tcW w:w="3796" w:type="pct"/>
            <w:vAlign w:val="center"/>
          </w:tcPr>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1、中标人所有投标文件的所有权（包括知识产权）归采购人所有。</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2、采购人提供的相关资料只供本次招标活动使用，各投标人应承担保密义务，不得擅自拷贝和传播。</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3、各投标人的调研费、差旅费及所获补偿金、奖金的税费自理。</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4、所有提交成果一律不退回。</w:t>
            </w:r>
          </w:p>
          <w:p>
            <w:pPr>
              <w:adjustRightInd w:val="0"/>
              <w:snapToGrid w:val="0"/>
              <w:spacing w:line="240" w:lineRule="auto"/>
              <w:ind w:firstLine="0" w:firstLineChars="0"/>
              <w:rPr>
                <w:rFonts w:hint="eastAsia" w:ascii="仿宋" w:hAnsi="仿宋" w:eastAsia="仿宋" w:cs="仿宋"/>
                <w:color w:val="auto"/>
                <w:szCs w:val="24"/>
                <w:highlight w:val="none"/>
              </w:rPr>
            </w:pPr>
            <w:r>
              <w:rPr>
                <w:rFonts w:hint="eastAsia" w:ascii="仿宋" w:hAnsi="仿宋" w:eastAsia="仿宋" w:cs="仿宋"/>
                <w:color w:val="auto"/>
                <w:szCs w:val="24"/>
                <w:highlight w:val="none"/>
              </w:rPr>
              <w:t>5、参加本次投标的单位均被视为承认本招标文件的所有条款，并按招标文件规定条款完成投标任务和活动。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335" w:type="pct"/>
            <w:vAlign w:val="center"/>
          </w:tcPr>
          <w:p>
            <w:pPr>
              <w:adjustRightInd w:val="0"/>
              <w:snapToGrid w:val="0"/>
              <w:spacing w:line="240" w:lineRule="auto"/>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34</w:t>
            </w:r>
          </w:p>
        </w:tc>
        <w:tc>
          <w:tcPr>
            <w:tcW w:w="869" w:type="pct"/>
            <w:vAlign w:val="center"/>
          </w:tcPr>
          <w:p>
            <w:pPr>
              <w:adjustRightInd w:val="0"/>
              <w:snapToGrid w:val="0"/>
              <w:spacing w:line="240" w:lineRule="auto"/>
              <w:ind w:firstLine="0" w:firstLineChars="0"/>
              <w:jc w:val="center"/>
              <w:rPr>
                <w:rFonts w:hint="eastAsia" w:ascii="仿宋" w:hAnsi="仿宋" w:eastAsia="仿宋" w:cs="仿宋"/>
                <w:color w:val="auto"/>
                <w:highlight w:val="none"/>
                <w:lang w:val="en-GB"/>
              </w:rPr>
            </w:pPr>
            <w:r>
              <w:rPr>
                <w:rFonts w:hint="eastAsia" w:ascii="仿宋" w:hAnsi="仿宋" w:eastAsia="仿宋" w:cs="仿宋"/>
                <w:color w:val="auto"/>
                <w:highlight w:val="none"/>
                <w:lang w:val="en-GB"/>
              </w:rPr>
              <w:t>投标注意事项</w:t>
            </w:r>
          </w:p>
        </w:tc>
        <w:tc>
          <w:tcPr>
            <w:tcW w:w="3796" w:type="pct"/>
            <w:vAlign w:val="center"/>
          </w:tcPr>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1、投标人须于报名截止前在中国山东政府采购网（http://www.ccgp-shandong.gov.cn/sdgp2017/site/index.jsp）注册并报名成功。</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根据财库[2016]125号的相关规定，本次招投标活动将对相关主体信用记录进行查询，对列入失信被执行人、税收违法黑名单、政府采购严重违法失信行为记录名单及其他不符合《中华人民共和国政府采购法》第二十二条规定条件的投标人，拒绝其参与政府采购活动。投标人信用记录信息以信用信息查询记录和证据为准【信用查询渠道：“信用中国”网站（www.creditchina.gov.cn）、“信用中国（山东）”网站（www.creditsd.gov.cn）、 “中国政府采购网”网站（www.ccgp.gov.cn）】</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1）自招标公告发布之日起至投标文件递交截止时间止，出具相关证明材料，查询时须将查询网页、内容进行截图或拍照，以作证据留存，截图或拍照内容要完整清晰，应包括网站网址、查询内容、电脑截屏时间。</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（2）注册地非山东省的投标人，须提供注册地省份相关网站查询记录。</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3、参与投标活动的投标人应当遵循公平竞争和诚实信用的原则，任何违反公平竞争和诚实信用的行为都将导致投标无效，且依据《中华人民共和国政府采购法》第七十七条进行处罚。</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4、根据财库〔2015〕135号的相关规定，本次采购将对中标人的投标报价明细表进行公示，请投标人务必认真填写，如因填写有误等投标人自身原因引起的质疑等产生的一切后果由投标人承担。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color w:val="auto"/>
                <w:szCs w:val="21"/>
                <w:highlight w:val="none"/>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adjustRightInd w:val="0"/>
              <w:snapToGrid w:val="0"/>
              <w:spacing w:line="240" w:lineRule="auto"/>
              <w:ind w:firstLine="0" w:firstLineChars="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8"/>
              <w:adjustRightInd w:val="0"/>
              <w:snapToGrid w:val="0"/>
              <w:rPr>
                <w:rFonts w:hint="eastAsia" w:ascii="仿宋" w:hAnsi="仿宋" w:eastAsia="仿宋" w:cs="仿宋"/>
                <w:color w:val="auto"/>
                <w:sz w:val="24"/>
                <w:highlight w:val="none"/>
              </w:rPr>
            </w:pPr>
            <w:r>
              <w:rPr>
                <w:rFonts w:hint="eastAsia" w:ascii="仿宋" w:hAnsi="仿宋" w:eastAsia="仿宋" w:cs="仿宋"/>
                <w:color w:val="auto"/>
                <w:sz w:val="24"/>
                <w:highlight w:val="none"/>
              </w:rPr>
              <w:t>6、本项目实行资格后审，报名成功不代表开标结束后通过资格审查。</w:t>
            </w:r>
          </w:p>
        </w:tc>
      </w:tr>
    </w:tbl>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r>
        <w:rPr>
          <w:rFonts w:hint="eastAsia" w:ascii="仿宋" w:hAnsi="仿宋" w:eastAsia="仿宋" w:cs="仿宋"/>
          <w:color w:val="auto"/>
          <w:highlight w:val="none"/>
        </w:rPr>
        <w:t>说明：本表内容与招标文件其他部分内容不一致的，应当以本表内容为准。</w:t>
      </w:r>
    </w:p>
    <w:p>
      <w:pPr>
        <w:pStyle w:val="33"/>
        <w:ind w:firstLine="0" w:firstLineChars="0"/>
        <w:rPr>
          <w:rFonts w:hint="eastAsia" w:ascii="仿宋" w:hAnsi="仿宋" w:eastAsia="仿宋" w:cs="仿宋"/>
          <w:color w:val="auto"/>
          <w:highlight w:val="none"/>
        </w:rPr>
      </w:pPr>
    </w:p>
    <w:p>
      <w:pPr>
        <w:pStyle w:val="33"/>
        <w:ind w:firstLine="0" w:firstLineChars="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pPr>
        <w:ind w:firstLine="0" w:firstLineChars="0"/>
        <w:jc w:val="center"/>
        <w:outlineLvl w:val="0"/>
        <w:rPr>
          <w:rFonts w:hint="eastAsia" w:ascii="仿宋" w:hAnsi="仿宋" w:eastAsia="仿宋" w:cs="仿宋"/>
          <w:b/>
          <w:color w:val="auto"/>
          <w:sz w:val="32"/>
          <w:szCs w:val="32"/>
          <w:highlight w:val="none"/>
        </w:rPr>
      </w:pPr>
      <w:bookmarkStart w:id="5" w:name="_Toc106784520"/>
      <w:bookmarkStart w:id="6" w:name="_Toc106784593"/>
      <w:r>
        <w:rPr>
          <w:rFonts w:hint="eastAsia" w:ascii="仿宋" w:hAnsi="仿宋" w:eastAsia="仿宋" w:cs="仿宋"/>
          <w:b/>
          <w:color w:val="auto"/>
          <w:sz w:val="32"/>
          <w:szCs w:val="32"/>
          <w:highlight w:val="none"/>
        </w:rPr>
        <w:t>第七部分评标方法和评分细则</w:t>
      </w:r>
      <w:bookmarkEnd w:id="5"/>
      <w:bookmarkEnd w:id="6"/>
    </w:p>
    <w:p>
      <w:pPr>
        <w:ind w:firstLine="562"/>
        <w:outlineLvl w:val="1"/>
        <w:rPr>
          <w:rFonts w:hint="eastAsia" w:ascii="仿宋" w:hAnsi="仿宋" w:eastAsia="仿宋" w:cs="仿宋"/>
          <w:b/>
          <w:color w:val="auto"/>
          <w:sz w:val="28"/>
          <w:szCs w:val="28"/>
          <w:highlight w:val="none"/>
        </w:rPr>
      </w:pPr>
      <w:bookmarkStart w:id="7" w:name="_Toc106784594"/>
      <w:bookmarkStart w:id="8" w:name="_Toc69110205"/>
      <w:bookmarkStart w:id="9" w:name="_Toc106784521"/>
      <w:r>
        <w:rPr>
          <w:rFonts w:hint="eastAsia" w:ascii="仿宋" w:hAnsi="仿宋" w:eastAsia="仿宋" w:cs="仿宋"/>
          <w:b/>
          <w:color w:val="auto"/>
          <w:sz w:val="28"/>
          <w:szCs w:val="28"/>
          <w:highlight w:val="none"/>
        </w:rPr>
        <w:t>一、评标方法</w:t>
      </w:r>
      <w:bookmarkEnd w:id="7"/>
      <w:bookmarkEnd w:id="8"/>
      <w:bookmarkEnd w:id="9"/>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本项目采用综合评分法，投标文件满足招标文件全部实质性要求且按照评审因素的量化指标评审得分最高的投标人为中标候选人。每一投标人的最终得分为所有评委评分的算术平均值。经采购人授权，本项目由评标委员会直接确定中标人，综合评分得分最高的投标人为中标人。得分相同的，报价较低的一方为中标人。得分且报价相同的，技术指标较优的一方为中标人。投标人的综合得分分值计算保留到小数点后两位数，第三位数四舍五入；当出现分值相同情况时，则报价低者优先。</w:t>
      </w:r>
    </w:p>
    <w:p>
      <w:pPr>
        <w:numPr>
          <w:ilvl w:val="0"/>
          <w:numId w:val="1"/>
        </w:numPr>
        <w:ind w:firstLine="562"/>
        <w:outlineLvl w:val="1"/>
        <w:rPr>
          <w:rFonts w:hint="eastAsia" w:ascii="仿宋" w:hAnsi="仿宋" w:eastAsia="仿宋" w:cs="仿宋"/>
          <w:b/>
          <w:color w:val="auto"/>
          <w:sz w:val="28"/>
          <w:szCs w:val="28"/>
          <w:highlight w:val="none"/>
        </w:rPr>
      </w:pPr>
      <w:bookmarkStart w:id="10" w:name="_Toc106784595"/>
      <w:bookmarkStart w:id="11" w:name="_Toc69110206"/>
      <w:bookmarkStart w:id="12" w:name="_Toc106784522"/>
      <w:r>
        <w:rPr>
          <w:rFonts w:hint="eastAsia" w:ascii="仿宋" w:hAnsi="仿宋" w:eastAsia="仿宋" w:cs="仿宋"/>
          <w:b/>
          <w:color w:val="auto"/>
          <w:sz w:val="28"/>
          <w:szCs w:val="28"/>
          <w:highlight w:val="none"/>
        </w:rPr>
        <w:t>评分细则</w:t>
      </w:r>
      <w:bookmarkEnd w:id="10"/>
      <w:bookmarkEnd w:id="11"/>
      <w:bookmarkEnd w:id="12"/>
    </w:p>
    <w:p>
      <w:pPr>
        <w:ind w:left="0" w:leftChars="0" w:firstLine="0" w:firstLineChars="0"/>
        <w:rPr>
          <w:rFonts w:hint="eastAsia" w:ascii="仿宋" w:hAnsi="仿宋" w:eastAsia="仿宋" w:cs="仿宋"/>
          <w:b/>
          <w:color w:val="auto"/>
          <w:sz w:val="28"/>
          <w:szCs w:val="28"/>
          <w:highlight w:val="none"/>
          <w:lang w:val="en-US" w:eastAsia="zh-CN"/>
        </w:rPr>
      </w:pPr>
      <w:bookmarkStart w:id="13" w:name="_Toc106784523"/>
      <w:bookmarkStart w:id="14" w:name="_Toc106784596"/>
      <w:bookmarkStart w:id="15" w:name="_Toc69110207"/>
      <w:r>
        <w:rPr>
          <w:rFonts w:hint="eastAsia" w:ascii="仿宋" w:hAnsi="仿宋" w:eastAsia="仿宋" w:cs="仿宋"/>
          <w:b/>
          <w:color w:val="auto"/>
          <w:sz w:val="28"/>
          <w:szCs w:val="28"/>
          <w:highlight w:val="none"/>
          <w:lang w:val="en-US" w:eastAsia="zh-CN"/>
        </w:rPr>
        <w:t>评分细则</w:t>
      </w:r>
    </w:p>
    <w:tbl>
      <w:tblPr>
        <w:tblStyle w:val="23"/>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color w:val="auto"/>
                <w:szCs w:val="24"/>
                <w:highlight w:val="none"/>
              </w:rPr>
            </w:pPr>
            <w:r>
              <w:rPr>
                <w:rFonts w:hint="eastAsia" w:ascii="仿宋" w:hAnsi="仿宋" w:eastAsia="仿宋" w:cs="仿宋"/>
                <w:caps/>
                <w:color w:val="auto"/>
                <w:szCs w:val="24"/>
                <w:highlight w:val="none"/>
              </w:rPr>
              <w:t xml:space="preserve">    </w:t>
            </w:r>
            <w:r>
              <w:rPr>
                <w:rFonts w:hint="eastAsia" w:ascii="仿宋" w:hAnsi="仿宋" w:eastAsia="仿宋" w:cs="仿宋"/>
                <w:bCs/>
                <w:caps/>
                <w:color w:val="auto"/>
                <w:szCs w:val="24"/>
                <w:highlight w:val="none"/>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投标报价</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以满足招标文件要求且投标价格最低的投标报价为评标基准价，其价格分为满分30分，其他投标人的价格分按照下列公式计算：投标报价得分=（评标基准价/投标报价）×30%×100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技术部分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59</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投标产品参数响应</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43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auto"/>
                <w:kern w:val="0"/>
                <w:szCs w:val="24"/>
                <w:highlight w:val="none"/>
              </w:rPr>
            </w:pPr>
            <w:r>
              <w:rPr>
                <w:rFonts w:hint="eastAsia" w:ascii="仿宋" w:hAnsi="仿宋" w:eastAsia="仿宋" w:cs="仿宋"/>
                <w:color w:val="auto"/>
                <w:highlight w:val="none"/>
              </w:rPr>
              <w:t>根据招标文件的技术要求，对照投标文件和技术支持资料的技术参数进行比较，能够实质性响应招标文件要求的得基本分</w:t>
            </w:r>
            <w:r>
              <w:rPr>
                <w:rFonts w:hint="eastAsia" w:ascii="仿宋" w:hAnsi="仿宋" w:eastAsia="仿宋" w:cs="仿宋"/>
                <w:color w:val="auto"/>
                <w:highlight w:val="none"/>
                <w:lang w:val="en-US" w:eastAsia="zh-CN"/>
              </w:rPr>
              <w:t>43</w:t>
            </w:r>
            <w:r>
              <w:rPr>
                <w:rFonts w:hint="eastAsia" w:ascii="仿宋" w:hAnsi="仿宋" w:eastAsia="仿宋" w:cs="仿宋"/>
                <w:color w:val="auto"/>
                <w:highlight w:val="none"/>
              </w:rPr>
              <w:t>分，普通条款一项偏离扣2分，经评标委员会集体认定供应商复制粘贴招标文件制作技术响应表该项得0分。</w:t>
            </w:r>
            <w:r>
              <w:rPr>
                <w:rFonts w:hint="eastAsia" w:ascii="仿宋" w:hAnsi="仿宋" w:eastAsia="仿宋" w:cs="仿宋"/>
                <w:b/>
                <w:bCs/>
                <w:color w:val="auto"/>
                <w:kern w:val="0"/>
                <w:szCs w:val="24"/>
                <w:highlight w:val="none"/>
              </w:rPr>
              <w:t>投标人须提供所投产品技术彩页（或网站截图或制造商说明书或第三方检测报告）作为技术佐证材料，否则评委有权视为技术参数存在负偏离。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eastAsia="zh-CN"/>
              </w:rPr>
              <w:t>投标产品综合性能</w:t>
            </w:r>
            <w:r>
              <w:rPr>
                <w:rFonts w:hint="eastAsia" w:ascii="仿宋" w:hAnsi="仿宋" w:eastAsia="仿宋" w:cs="仿宋"/>
                <w:bCs/>
                <w:color w:val="auto"/>
                <w:szCs w:val="24"/>
                <w:highlight w:val="none"/>
                <w:lang w:val="en-US" w:eastAsia="zh-CN"/>
              </w:rPr>
              <w:t>10</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⑤其它因素，每项完全满足得2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10"/>
              <w:spacing w:after="0" w:line="480" w:lineRule="exact"/>
              <w:ind w:left="0" w:leftChars="0" w:firstLine="0" w:firstLineChars="0"/>
              <w:jc w:val="center"/>
              <w:rPr>
                <w:rFonts w:hint="eastAsia" w:ascii="仿宋" w:hAnsi="仿宋" w:eastAsia="仿宋" w:cs="仿宋"/>
                <w:bCs/>
                <w:color w:val="auto"/>
                <w:sz w:val="24"/>
                <w:highlight w:val="none"/>
                <w:lang w:eastAsia="zh-CN"/>
              </w:rPr>
            </w:pPr>
            <w:r>
              <w:rPr>
                <w:rFonts w:hint="eastAsia" w:ascii="仿宋" w:hAnsi="仿宋" w:eastAsia="仿宋" w:cs="仿宋"/>
                <w:bCs/>
                <w:color w:val="auto"/>
                <w:sz w:val="24"/>
                <w:highlight w:val="none"/>
                <w:lang w:eastAsia="zh-CN"/>
              </w:rPr>
              <w:t>实施方案</w:t>
            </w:r>
          </w:p>
          <w:p>
            <w:pPr>
              <w:pStyle w:val="10"/>
              <w:spacing w:after="0" w:line="480" w:lineRule="exact"/>
              <w:ind w:left="0" w:leftChars="0"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10"/>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highlight w:val="none"/>
                <w:lang w:val="en-US" w:eastAsia="zh-CN"/>
              </w:rPr>
              <w:t>3分，满分6分每有一项不足扣1分。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商务</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部分</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11</w:t>
            </w:r>
            <w:r>
              <w:rPr>
                <w:rFonts w:hint="eastAsia" w:ascii="仿宋" w:hAnsi="仿宋" w:eastAsia="仿宋" w:cs="仿宋"/>
                <w:bCs/>
                <w:color w:val="auto"/>
                <w:szCs w:val="24"/>
                <w:highlight w:val="none"/>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业绩</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pStyle w:val="10"/>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根据供应商所投产品近三年（20</w:t>
            </w:r>
            <w:r>
              <w:rPr>
                <w:rFonts w:hint="eastAsia" w:ascii="仿宋" w:hAnsi="仿宋" w:eastAsia="仿宋" w:cs="仿宋"/>
                <w:bCs/>
                <w:color w:val="auto"/>
                <w:sz w:val="24"/>
                <w:highlight w:val="none"/>
                <w:lang w:val="en-US" w:eastAsia="zh-CN"/>
              </w:rPr>
              <w:t>20</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lang w:val="en-US" w:eastAsia="zh-CN"/>
              </w:rPr>
              <w:t>6</w:t>
            </w:r>
            <w:r>
              <w:rPr>
                <w:rFonts w:hint="eastAsia" w:ascii="仿宋" w:hAnsi="仿宋" w:eastAsia="仿宋" w:cs="仿宋"/>
                <w:bCs/>
                <w:color w:val="auto"/>
                <w:sz w:val="24"/>
                <w:highlight w:val="none"/>
              </w:rPr>
              <w:t>月至投标截止日止，以合同签订时间为准）完成同类项目</w:t>
            </w:r>
            <w:r>
              <w:rPr>
                <w:rFonts w:hint="eastAsia" w:ascii="仿宋" w:hAnsi="仿宋" w:eastAsia="仿宋" w:cs="仿宋"/>
                <w:bCs/>
                <w:color w:val="auto"/>
                <w:sz w:val="24"/>
                <w:highlight w:val="none"/>
                <w:lang w:eastAsia="zh-CN"/>
              </w:rPr>
              <w:t>（核心产品）</w:t>
            </w:r>
            <w:r>
              <w:rPr>
                <w:rFonts w:hint="eastAsia" w:ascii="仿宋" w:hAnsi="仿宋" w:eastAsia="仿宋" w:cs="仿宋"/>
                <w:bCs/>
                <w:color w:val="auto"/>
                <w:sz w:val="24"/>
                <w:highlight w:val="none"/>
              </w:rPr>
              <w:t>的业绩，每提供1项业绩得1分，最高得3分。</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1.合同中需反映出签约双方名称及公章、签约时间、设备名称、型号。</w:t>
            </w:r>
          </w:p>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注 2. 国内销售业绩：制造商或其他代理商销售业绩均可。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服务支持</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根据招标要求和投标技术响应情况，对供应商提供的①售后服务方案、②响应时间、③技术力量等三方面综合评价，满分</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color w:val="auto"/>
                <w:szCs w:val="24"/>
                <w:highlight w:val="none"/>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color w:val="auto"/>
                <w:szCs w:val="24"/>
                <w:highlight w:val="none"/>
                <w:lang w:eastAsia="zh-CN"/>
              </w:rPr>
            </w:pPr>
            <w:r>
              <w:rPr>
                <w:rFonts w:hint="eastAsia" w:ascii="仿宋" w:hAnsi="仿宋" w:eastAsia="仿宋" w:cs="仿宋"/>
                <w:bCs/>
                <w:color w:val="auto"/>
                <w:szCs w:val="24"/>
                <w:highlight w:val="none"/>
                <w:lang w:eastAsia="zh-CN"/>
              </w:rPr>
              <w:t>质保期</w:t>
            </w:r>
          </w:p>
          <w:p>
            <w:pPr>
              <w:spacing w:line="440" w:lineRule="exact"/>
              <w:ind w:firstLine="0" w:firstLineChars="0"/>
              <w:jc w:val="center"/>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lang w:val="en-US" w:eastAsia="zh-CN"/>
              </w:rPr>
              <w:t>3</w:t>
            </w:r>
            <w:r>
              <w:rPr>
                <w:rFonts w:hint="eastAsia" w:ascii="仿宋" w:hAnsi="仿宋" w:eastAsia="仿宋" w:cs="仿宋"/>
                <w:bCs/>
                <w:color w:val="auto"/>
                <w:szCs w:val="24"/>
                <w:highlight w:val="none"/>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color w:val="auto"/>
                <w:szCs w:val="24"/>
                <w:highlight w:val="none"/>
              </w:rPr>
            </w:pPr>
            <w:r>
              <w:rPr>
                <w:rFonts w:hint="eastAsia" w:ascii="仿宋" w:hAnsi="仿宋" w:eastAsia="仿宋" w:cs="仿宋"/>
                <w:bCs/>
                <w:color w:val="auto"/>
                <w:sz w:val="24"/>
                <w:highlight w:val="none"/>
              </w:rPr>
              <w:t>质保期满足招标文件要求得0分，超过招标文件要求的，每多一年得1分，最多得3分。</w:t>
            </w:r>
          </w:p>
        </w:tc>
      </w:tr>
    </w:tbl>
    <w:p>
      <w:pP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p>
    <w:p>
      <w:pPr>
        <w:ind w:firstLine="562"/>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三、初步审查属于无效投标的条款</w:t>
      </w:r>
      <w:bookmarkEnd w:id="13"/>
      <w:bookmarkEnd w:id="14"/>
      <w:bookmarkEnd w:id="15"/>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★投标文件有以下情况之一的，在资格性和符合性审查时按无效投标处理，不得进入详细评审阶段：</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1、不具备招标文件中规定的资格要求的；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2、未从采购代理机构报名并取得招标文件的；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3、投标文件未按招标文件规定要求编制、签署、盖章的；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4、投标有效期不满足招标文件要求的；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5、投标文件含有采购人不能接受的附加条件的；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6、未按招标文件要求报价的；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7、报价超过招标文件中规定的预算金额或者最高限价的；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8、未经许可，以进口产品参与投标的；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9、投标文件没有对招标文件的实质性要求部分（包含投标人须知附表要求部分）和条件或标注★部分作出响应或响应不全面、不规范的；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10、有重大偏离且采购人不能接受的；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11、不提供招标文件要求的任何形式技术资料的；</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12、同一投标人提交两个以上不同的投标文件或者投标报价，但招标文件要求提交备选方案的除外；</w:t>
      </w:r>
    </w:p>
    <w:p>
      <w:pPr>
        <w:pStyle w:val="33"/>
        <w:spacing w:line="360" w:lineRule="auto"/>
        <w:ind w:firstLine="480"/>
        <w:rPr>
          <w:rFonts w:hint="eastAsia" w:ascii="仿宋" w:hAnsi="仿宋" w:eastAsia="仿宋" w:cs="仿宋"/>
          <w:color w:val="auto"/>
          <w:highlight w:val="none"/>
        </w:rPr>
      </w:pPr>
      <w:r>
        <w:rPr>
          <w:rFonts w:hint="eastAsia" w:ascii="仿宋" w:hAnsi="仿宋" w:eastAsia="仿宋" w:cs="仿宋"/>
          <w:color w:val="auto"/>
          <w:highlight w:val="none"/>
        </w:rPr>
        <w:t>13、法律、法规和招标文件规定的其他无效情形。</w:t>
      </w: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pStyle w:val="33"/>
        <w:spacing w:line="360" w:lineRule="auto"/>
        <w:ind w:firstLine="480"/>
        <w:rPr>
          <w:rFonts w:hint="eastAsia" w:ascii="仿宋" w:hAnsi="仿宋" w:eastAsia="仿宋" w:cs="仿宋"/>
          <w:color w:val="auto"/>
          <w:highlight w:val="none"/>
        </w:rPr>
      </w:pPr>
    </w:p>
    <w:p>
      <w:pPr>
        <w:widowControl/>
        <w:spacing w:line="240" w:lineRule="auto"/>
        <w:ind w:firstLine="0" w:firstLineChars="0"/>
        <w:rPr>
          <w:rFonts w:hint="eastAsia" w:ascii="仿宋" w:hAnsi="仿宋" w:eastAsia="仿宋" w:cs="仿宋"/>
          <w:b/>
          <w:color w:val="auto"/>
          <w:sz w:val="32"/>
          <w:szCs w:val="32"/>
          <w:highlight w:val="none"/>
        </w:rPr>
        <w:sectPr>
          <w:footerReference r:id="rId11" w:type="default"/>
          <w:pgSz w:w="11906" w:h="16838"/>
          <w:pgMar w:top="1134" w:right="991" w:bottom="1440" w:left="1276" w:header="851" w:footer="992" w:gutter="0"/>
          <w:cols w:space="425" w:num="1"/>
          <w:docGrid w:type="lines" w:linePitch="312" w:charSpace="0"/>
        </w:sectPr>
      </w:pPr>
      <w:bookmarkStart w:id="16" w:name="_Toc69110208"/>
      <w:r>
        <w:rPr>
          <w:rFonts w:hint="eastAsia" w:ascii="仿宋" w:hAnsi="仿宋" w:eastAsia="仿宋" w:cs="仿宋"/>
          <w:b/>
          <w:color w:val="auto"/>
          <w:sz w:val="32"/>
          <w:szCs w:val="32"/>
          <w:highlight w:val="none"/>
        </w:rPr>
        <w:br w:type="page"/>
      </w:r>
    </w:p>
    <w:bookmarkEnd w:id="16"/>
    <w:p>
      <w:pPr>
        <w:ind w:firstLine="0" w:firstLineChars="0"/>
        <w:jc w:val="center"/>
        <w:outlineLvl w:val="0"/>
        <w:rPr>
          <w:rFonts w:hint="eastAsia" w:ascii="仿宋" w:hAnsi="仿宋" w:eastAsia="仿宋" w:cs="仿宋"/>
          <w:b/>
          <w:color w:val="auto"/>
          <w:sz w:val="32"/>
          <w:szCs w:val="32"/>
          <w:highlight w:val="none"/>
        </w:rPr>
      </w:pPr>
      <w:bookmarkStart w:id="17" w:name="_Toc106784524"/>
      <w:bookmarkStart w:id="18" w:name="_Toc106784597"/>
      <w:r>
        <w:rPr>
          <w:rFonts w:hint="eastAsia" w:ascii="仿宋" w:hAnsi="仿宋" w:eastAsia="仿宋" w:cs="仿宋"/>
          <w:b/>
          <w:color w:val="auto"/>
          <w:sz w:val="32"/>
          <w:szCs w:val="32"/>
          <w:highlight w:val="none"/>
        </w:rPr>
        <w:t>第八部分技术要求及说明</w:t>
      </w:r>
      <w:bookmarkEnd w:id="17"/>
      <w:bookmarkEnd w:id="18"/>
    </w:p>
    <w:p>
      <w:pPr>
        <w:pStyle w:val="33"/>
        <w:spacing w:line="360" w:lineRule="auto"/>
        <w:ind w:firstLine="0" w:firstLineChars="0"/>
        <w:rPr>
          <w:rFonts w:hint="eastAsia" w:ascii="仿宋" w:hAnsi="仿宋" w:eastAsia="仿宋" w:cs="仿宋"/>
          <w:bCs/>
          <w:color w:val="auto"/>
          <w:szCs w:val="24"/>
          <w:highlight w:val="none"/>
        </w:rPr>
      </w:pPr>
      <w:r>
        <w:rPr>
          <w:rFonts w:hint="eastAsia" w:ascii="仿宋" w:hAnsi="仿宋" w:eastAsia="仿宋" w:cs="仿宋"/>
          <w:b/>
          <w:color w:val="auto"/>
          <w:szCs w:val="24"/>
          <w:highlight w:val="none"/>
        </w:rPr>
        <w:t>一、项目总体说明</w:t>
      </w:r>
    </w:p>
    <w:p>
      <w:pPr>
        <w:pStyle w:val="33"/>
        <w:spacing w:line="360" w:lineRule="auto"/>
        <w:ind w:firstLine="480"/>
        <w:rPr>
          <w:rFonts w:hint="eastAsia" w:ascii="仿宋" w:hAnsi="仿宋" w:eastAsia="仿宋" w:cs="仿宋"/>
          <w:color w:val="auto"/>
          <w:sz w:val="24"/>
          <w:szCs w:val="24"/>
          <w:highlight w:val="none"/>
          <w:lang w:val="en-US" w:eastAsia="zh-CN"/>
        </w:rPr>
      </w:pPr>
      <w:r>
        <w:rPr>
          <w:rFonts w:hint="eastAsia" w:ascii="仿宋" w:hAnsi="仿宋" w:eastAsia="仿宋" w:cs="仿宋"/>
          <w:bCs/>
          <w:color w:val="auto"/>
          <w:szCs w:val="24"/>
          <w:highlight w:val="none"/>
          <w:lang w:val="en-US" w:eastAsia="zh-CN"/>
        </w:rPr>
        <w:t>1</w:t>
      </w:r>
      <w:r>
        <w:rPr>
          <w:rFonts w:hint="eastAsia" w:ascii="仿宋" w:hAnsi="仿宋" w:eastAsia="仿宋" w:cs="仿宋"/>
          <w:bCs/>
          <w:color w:val="auto"/>
          <w:szCs w:val="24"/>
          <w:highlight w:val="none"/>
        </w:rPr>
        <w:t>、本项目各包均为交钥匙工程</w:t>
      </w:r>
      <w:r>
        <w:rPr>
          <w:rFonts w:hint="eastAsia" w:ascii="仿宋" w:hAnsi="仿宋" w:eastAsia="仿宋" w:cs="仿宋"/>
          <w:bCs/>
          <w:color w:val="auto"/>
          <w:szCs w:val="24"/>
          <w:highlight w:val="none"/>
          <w:lang w:eastAsia="zh-CN"/>
        </w:rPr>
        <w:t>，</w:t>
      </w:r>
      <w:r>
        <w:rPr>
          <w:rFonts w:hint="eastAsia" w:ascii="仿宋" w:hAnsi="仿宋" w:eastAsia="仿宋" w:cs="仿宋"/>
          <w:color w:val="auto"/>
          <w:sz w:val="24"/>
          <w:szCs w:val="24"/>
          <w:highlight w:val="none"/>
          <w:lang w:val="en-US" w:eastAsia="zh-CN"/>
        </w:rPr>
        <w:t>与用户现有信息系统连接，费用包含在报价内。</w:t>
      </w:r>
    </w:p>
    <w:p>
      <w:pPr>
        <w:pStyle w:val="33"/>
        <w:spacing w:line="360" w:lineRule="auto"/>
        <w:ind w:firstLine="480"/>
        <w:rPr>
          <w:rFonts w:hint="default" w:ascii="仿宋" w:hAnsi="仿宋" w:eastAsia="仿宋" w:cs="仿宋"/>
          <w:color w:val="auto"/>
          <w:sz w:val="24"/>
          <w:szCs w:val="24"/>
          <w:highlight w:val="none"/>
          <w:lang w:val="en-US" w:eastAsia="zh-CN"/>
        </w:rPr>
      </w:pPr>
      <w:r>
        <w:rPr>
          <w:rFonts w:hint="eastAsia" w:ascii="仿宋" w:hAnsi="仿宋" w:cs="仿宋"/>
          <w:color w:val="auto"/>
          <w:sz w:val="24"/>
          <w:szCs w:val="24"/>
          <w:highlight w:val="none"/>
          <w:lang w:val="en-US" w:eastAsia="zh-CN"/>
        </w:rPr>
        <w:t>2、未标注可采进口的设备，不允许采购进口产品。</w:t>
      </w:r>
    </w:p>
    <w:p>
      <w:pPr>
        <w:pStyle w:val="33"/>
        <w:spacing w:line="360" w:lineRule="auto"/>
        <w:ind w:firstLine="200" w:firstLineChars="83"/>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二、技术参数要</w:t>
      </w:r>
      <w:r>
        <w:rPr>
          <w:rFonts w:hint="eastAsia" w:ascii="仿宋" w:hAnsi="仿宋" w:eastAsia="仿宋" w:cs="仿宋"/>
          <w:b/>
          <w:color w:val="auto"/>
          <w:szCs w:val="24"/>
          <w:highlight w:val="none"/>
          <w:lang w:eastAsia="zh-CN"/>
        </w:rPr>
        <w:t>求</w:t>
      </w:r>
    </w:p>
    <w:p>
      <w:pPr>
        <w:pStyle w:val="33"/>
        <w:spacing w:line="360" w:lineRule="auto"/>
        <w:ind w:firstLine="200" w:firstLineChars="83"/>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 xml:space="preserve">A包  预算：220万元  </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2"/>
        <w:gridCol w:w="1467"/>
        <w:gridCol w:w="792"/>
        <w:gridCol w:w="794"/>
        <w:gridCol w:w="60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02"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744"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402"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3046"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12" w:hRule="atLeast"/>
        </w:trPr>
        <w:tc>
          <w:tcPr>
            <w:tcW w:w="402"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744"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眼前后节生物测量光学相干断层扫描仪扫频源广角血流（OCT）</w:t>
            </w:r>
          </w:p>
        </w:tc>
        <w:tc>
          <w:tcPr>
            <w:tcW w:w="402"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403"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046" w:type="pct"/>
            <w:noWrap w:val="0"/>
            <w:vAlign w:val="center"/>
          </w:tcPr>
          <w:p>
            <w:pPr>
              <w:keepNext w:val="0"/>
              <w:keepLines w:val="0"/>
              <w:pageBreakBefore w:val="0"/>
              <w:numPr>
                <w:ilvl w:val="0"/>
                <w:numId w:val="0"/>
              </w:numPr>
              <w:kinsoku/>
              <w:wordWrap/>
              <w:overflowPunct/>
              <w:topLinePunct w:val="0"/>
              <w:autoSpaceDE/>
              <w:autoSpaceDN/>
              <w:bidi w:val="0"/>
              <w:adjustRightInd/>
              <w:snapToGrid/>
              <w:ind w:firstLine="0" w:firstLineChars="0"/>
              <w:jc w:val="left"/>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1、OCT扫描速度≥200,000 A-scans/s；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2、OCT轴向光学分辨率≤3.8μm；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3、OCT轴向数字分辨率≤2.0μm；</w:t>
            </w:r>
          </w:p>
          <w:p>
            <w:pPr>
              <w:pStyle w:val="61"/>
              <w:keepNext w:val="0"/>
              <w:keepLines w:val="0"/>
              <w:pageBreakBefore w:val="0"/>
              <w:numPr>
                <w:ilvl w:val="0"/>
                <w:numId w:val="0"/>
              </w:numPr>
              <w:kinsoku/>
              <w:wordWrap/>
              <w:overflowPunct/>
              <w:topLinePunct w:val="0"/>
              <w:autoSpaceDE/>
              <w:autoSpaceDN/>
              <w:bidi w:val="0"/>
              <w:adjustRightInd/>
              <w:snapToGrid/>
              <w:ind w:leftChars="0" w:firstLine="0" w:firstLineChars="0"/>
              <w:jc w:val="left"/>
              <w:rPr>
                <w:rFonts w:hint="eastAsia" w:ascii="仿宋" w:hAnsi="仿宋" w:eastAsia="仿宋" w:cs="仿宋"/>
                <w:sz w:val="24"/>
                <w:szCs w:val="24"/>
                <w:lang w:eastAsia="zh-CN"/>
              </w:rPr>
            </w:pPr>
            <w:r>
              <w:rPr>
                <w:rFonts w:hint="eastAsia" w:ascii="仿宋" w:hAnsi="仿宋" w:eastAsia="仿宋" w:cs="仿宋"/>
                <w:i w:val="0"/>
                <w:iCs w:val="0"/>
                <w:color w:val="000000"/>
                <w:kern w:val="0"/>
                <w:sz w:val="24"/>
                <w:szCs w:val="24"/>
                <w:u w:val="none"/>
                <w:lang w:val="en-US" w:eastAsia="zh-CN" w:bidi="ar"/>
              </w:rPr>
              <w:t>4、</w:t>
            </w:r>
            <w:r>
              <w:rPr>
                <w:rFonts w:hint="eastAsia" w:ascii="仿宋" w:hAnsi="仿宋" w:eastAsia="仿宋" w:cs="仿宋"/>
                <w:sz w:val="24"/>
                <w:szCs w:val="24"/>
              </w:rPr>
              <w:t>OCT横向光学分辨率≤10μm</w:t>
            </w:r>
            <w:r>
              <w:rPr>
                <w:rFonts w:hint="eastAsia" w:ascii="仿宋" w:hAnsi="仿宋" w:eastAsia="仿宋" w:cs="仿宋"/>
                <w:sz w:val="24"/>
                <w:szCs w:val="24"/>
                <w:lang w:eastAsia="zh-CN"/>
              </w:rPr>
              <w:t>；</w:t>
            </w:r>
          </w:p>
          <w:p>
            <w:pPr>
              <w:pStyle w:val="61"/>
              <w:keepNext w:val="0"/>
              <w:keepLines w:val="0"/>
              <w:pageBreakBefore w:val="0"/>
              <w:numPr>
                <w:ilvl w:val="0"/>
                <w:numId w:val="0"/>
              </w:numPr>
              <w:kinsoku/>
              <w:wordWrap/>
              <w:overflowPunct/>
              <w:topLinePunct w:val="0"/>
              <w:autoSpaceDE/>
              <w:autoSpaceDN/>
              <w:bidi w:val="0"/>
              <w:adjustRightInd/>
              <w:snapToGrid/>
              <w:ind w:leftChars="0" w:firstLine="0" w:firstLineChars="0"/>
              <w:jc w:val="left"/>
              <w:rPr>
                <w:rFonts w:hint="eastAsia" w:ascii="仿宋" w:hAnsi="仿宋" w:eastAsia="仿宋" w:cs="仿宋"/>
                <w:sz w:val="24"/>
                <w:szCs w:val="24"/>
                <w:lang w:eastAsia="zh-CN"/>
              </w:rPr>
            </w:pPr>
            <w:r>
              <w:rPr>
                <w:rFonts w:hint="eastAsia" w:ascii="仿宋" w:hAnsi="仿宋" w:eastAsia="仿宋" w:cs="仿宋"/>
                <w:i w:val="0"/>
                <w:iCs w:val="0"/>
                <w:color w:val="000000"/>
                <w:kern w:val="0"/>
                <w:sz w:val="24"/>
                <w:szCs w:val="24"/>
                <w:u w:val="none"/>
                <w:lang w:val="en-US" w:eastAsia="zh-CN" w:bidi="ar"/>
              </w:rPr>
              <w:t>5、</w:t>
            </w:r>
            <w:r>
              <w:rPr>
                <w:rFonts w:hint="eastAsia" w:ascii="仿宋" w:hAnsi="仿宋" w:eastAsia="仿宋" w:cs="仿宋"/>
                <w:color w:val="000000"/>
                <w:sz w:val="24"/>
                <w:szCs w:val="24"/>
              </w:rPr>
              <w:t>OCT光源：扫频激光</w:t>
            </w:r>
            <w:r>
              <w:rPr>
                <w:rFonts w:hint="eastAsia" w:ascii="仿宋" w:hAnsi="仿宋" w:eastAsia="仿宋" w:cs="仿宋"/>
                <w:color w:val="000000"/>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ind w:firstLine="0" w:firstLineChars="0"/>
              <w:jc w:val="left"/>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6、具有</w:t>
            </w:r>
            <w:r>
              <w:rPr>
                <w:rFonts w:hint="eastAsia" w:ascii="仿宋" w:hAnsi="仿宋" w:eastAsia="仿宋" w:cs="仿宋"/>
                <w:sz w:val="24"/>
                <w:szCs w:val="24"/>
              </w:rPr>
              <w:t>共聚焦点扫描成像系统</w:t>
            </w:r>
            <w:r>
              <w:rPr>
                <w:rFonts w:hint="eastAsia" w:ascii="仿宋" w:hAnsi="仿宋" w:eastAsia="仿宋" w:cs="仿宋"/>
                <w:sz w:val="24"/>
                <w:szCs w:val="24"/>
                <w:lang w:eastAsia="zh-CN"/>
              </w:rPr>
              <w:t>；</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7、OCT前节成像深度＞16mm，OCT后节成像深度≥12mm；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8、OCT成像范围：线扫描范围＞25mm，三维成像范围＞25mmx20mm 9、具备OCT血流成像功能；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10、单次血流成像范围＞25mmx20mm；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11、自动拼接≥5张血流图像；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12、血流成像拼图范围≥200°（眼内角）；</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13、具备基于深度学习的人工智能分层，分层调整可自动扩展范围；血流成像量化功能 ,量化数值可直接导出成表格。内置前节镜头；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14、具备实时眼动追踪功能，追踪速度≥60帧/s；</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15、眼前节功能：角膜、瞳孔、前房、晶体的可视化，以及角膜曲率和厚度、瞳孔直径、前房深度、晶体厚度、人眼角膜直径和眼周长度的测量；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16、内置前节镜头，自动更换；</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17、扫频源光学相干断层成像技术，</w:t>
            </w:r>
            <w:r>
              <w:rPr>
                <w:rFonts w:hint="eastAsia" w:ascii="仿宋" w:hAnsi="仿宋" w:eastAsia="仿宋" w:cs="仿宋"/>
                <w:i w:val="0"/>
                <w:iCs w:val="0"/>
                <w:color w:val="000000"/>
                <w:kern w:val="0"/>
                <w:sz w:val="24"/>
                <w:szCs w:val="24"/>
                <w:highlight w:val="none"/>
                <w:u w:val="none"/>
                <w:lang w:val="en-US" w:eastAsia="zh-CN" w:bidi="ar"/>
              </w:rPr>
              <w:t>光源波长840nm～1050nm</w:t>
            </w:r>
            <w:r>
              <w:rPr>
                <w:rFonts w:hint="eastAsia" w:ascii="仿宋" w:hAnsi="仿宋" w:eastAsia="仿宋" w:cs="仿宋"/>
                <w:i w:val="0"/>
                <w:iCs w:val="0"/>
                <w:color w:val="000000"/>
                <w:kern w:val="0"/>
                <w:sz w:val="24"/>
                <w:szCs w:val="24"/>
                <w:u w:val="none"/>
                <w:lang w:val="en-US" w:eastAsia="zh-CN" w:bidi="ar"/>
              </w:rPr>
              <w:t>；</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18、屈光补偿范围：-33D～+40D；</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19、最小瞳孔≤2mm；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20、数据开放接口：DICOM</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szCs w:val="24"/>
                <w:lang w:val="en-US" w:eastAsia="zh-CN"/>
              </w:rPr>
              <w:t>21、</w:t>
            </w:r>
            <w:r>
              <w:rPr>
                <w:rFonts w:hint="eastAsia" w:ascii="仿宋" w:hAnsi="仿宋" w:eastAsia="仿宋" w:cs="仿宋"/>
                <w:sz w:val="24"/>
                <w:szCs w:val="24"/>
              </w:rPr>
              <w:t>具备全层去伪影功能，在OCTA及断层图像上的血流信号均可去除投射伪影</w:t>
            </w:r>
            <w:r>
              <w:rPr>
                <w:rFonts w:hint="eastAsia" w:ascii="仿宋" w:hAnsi="仿宋" w:eastAsia="仿宋" w:cs="仿宋"/>
                <w:sz w:val="24"/>
                <w:szCs w:val="24"/>
                <w:lang w:eastAsia="zh-CN"/>
              </w:rPr>
              <w:t>；</w:t>
            </w:r>
          </w:p>
          <w:p>
            <w:pPr>
              <w:pStyle w:val="61"/>
              <w:keepNext w:val="0"/>
              <w:keepLines w:val="0"/>
              <w:pageBreakBefore w:val="0"/>
              <w:numPr>
                <w:ilvl w:val="0"/>
                <w:numId w:val="0"/>
              </w:numPr>
              <w:kinsoku/>
              <w:wordWrap/>
              <w:overflowPunct/>
              <w:topLinePunct w:val="0"/>
              <w:autoSpaceDE/>
              <w:autoSpaceDN/>
              <w:bidi w:val="0"/>
              <w:adjustRightInd/>
              <w:snapToGrid/>
              <w:ind w:lef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rPr>
              <w:t>22、</w:t>
            </w:r>
            <w:r>
              <w:rPr>
                <w:rFonts w:hint="eastAsia" w:ascii="仿宋" w:hAnsi="仿宋" w:eastAsia="仿宋" w:cs="仿宋"/>
                <w:sz w:val="24"/>
                <w:szCs w:val="24"/>
              </w:rPr>
              <w:t>具备对视网膜各层、脉络膜进行自动厚度分析</w:t>
            </w:r>
            <w:r>
              <w:rPr>
                <w:rFonts w:hint="eastAsia" w:ascii="仿宋" w:hAnsi="仿宋" w:eastAsia="仿宋" w:cs="仿宋"/>
                <w:sz w:val="24"/>
                <w:szCs w:val="24"/>
                <w:lang w:val="en-US" w:eastAsia="zh-CN"/>
              </w:rPr>
              <w:t>功能</w:t>
            </w:r>
            <w:r>
              <w:rPr>
                <w:rFonts w:hint="eastAsia" w:ascii="仿宋" w:hAnsi="仿宋" w:eastAsia="仿宋" w:cs="仿宋"/>
                <w:sz w:val="24"/>
                <w:szCs w:val="24"/>
                <w:lang w:eastAsia="zh-CN"/>
              </w:rPr>
              <w:t>；</w:t>
            </w:r>
          </w:p>
          <w:p>
            <w:pPr>
              <w:pStyle w:val="61"/>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23、具有</w:t>
            </w:r>
            <w:r>
              <w:rPr>
                <w:rFonts w:hint="eastAsia" w:ascii="仿宋" w:hAnsi="仿宋" w:eastAsia="仿宋" w:cs="仿宋"/>
                <w:sz w:val="24"/>
                <w:szCs w:val="24"/>
              </w:rPr>
              <w:t>自动测量杯盘比、视杯视盘面积、盘沿面积、神经纤维层厚度、神经节细胞复合体厚度参数</w:t>
            </w:r>
            <w:r>
              <w:rPr>
                <w:rFonts w:hint="eastAsia" w:ascii="仿宋" w:hAnsi="仿宋" w:eastAsia="仿宋" w:cs="仿宋"/>
                <w:sz w:val="24"/>
                <w:szCs w:val="24"/>
                <w:lang w:val="en-US" w:eastAsia="zh-CN"/>
              </w:rPr>
              <w:t>功能</w:t>
            </w:r>
            <w:r>
              <w:rPr>
                <w:rFonts w:hint="eastAsia" w:ascii="仿宋" w:hAnsi="仿宋" w:eastAsia="仿宋" w:cs="仿宋"/>
                <w:sz w:val="24"/>
                <w:szCs w:val="24"/>
                <w:lang w:eastAsia="zh-CN"/>
              </w:rPr>
              <w:t>；</w:t>
            </w:r>
          </w:p>
          <w:p>
            <w:pPr>
              <w:pStyle w:val="61"/>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24、</w:t>
            </w:r>
            <w:r>
              <w:rPr>
                <w:rFonts w:hint="eastAsia" w:ascii="仿宋" w:hAnsi="仿宋" w:eastAsia="仿宋" w:cs="仿宋"/>
                <w:sz w:val="24"/>
                <w:szCs w:val="24"/>
              </w:rPr>
              <w:t>经纤维层厚度及神经节细胞复合体厚度的正常值数据库，并</w:t>
            </w:r>
            <w:r>
              <w:rPr>
                <w:rFonts w:hint="eastAsia" w:ascii="仿宋" w:hAnsi="仿宋" w:eastAsia="仿宋" w:cs="仿宋"/>
                <w:sz w:val="24"/>
                <w:szCs w:val="24"/>
                <w:lang w:val="en-US" w:eastAsia="zh-CN"/>
              </w:rPr>
              <w:t>具备</w:t>
            </w:r>
            <w:r>
              <w:rPr>
                <w:rFonts w:hint="eastAsia" w:ascii="仿宋" w:hAnsi="仿宋" w:eastAsia="仿宋" w:cs="仿宋"/>
                <w:sz w:val="24"/>
                <w:szCs w:val="24"/>
              </w:rPr>
              <w:t>进行自动对比分析</w:t>
            </w:r>
            <w:r>
              <w:rPr>
                <w:rFonts w:hint="eastAsia" w:ascii="仿宋" w:hAnsi="仿宋" w:eastAsia="仿宋" w:cs="仿宋"/>
                <w:sz w:val="24"/>
                <w:szCs w:val="24"/>
                <w:lang w:val="en-US" w:eastAsia="zh-CN"/>
              </w:rPr>
              <w:t>功能</w:t>
            </w:r>
            <w:r>
              <w:rPr>
                <w:rFonts w:hint="eastAsia" w:ascii="仿宋" w:hAnsi="仿宋" w:eastAsia="仿宋" w:cs="仿宋"/>
                <w:sz w:val="24"/>
                <w:szCs w:val="24"/>
                <w:lang w:eastAsia="zh-CN"/>
              </w:rPr>
              <w:t>；</w:t>
            </w:r>
          </w:p>
          <w:p>
            <w:pPr>
              <w:pStyle w:val="61"/>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25、具有</w:t>
            </w:r>
            <w:r>
              <w:rPr>
                <w:rFonts w:hint="eastAsia" w:ascii="仿宋" w:hAnsi="仿宋" w:eastAsia="仿宋" w:cs="仿宋"/>
                <w:sz w:val="24"/>
                <w:szCs w:val="24"/>
              </w:rPr>
              <w:t>对视网膜下积液进行自动识别并计算其面积和体积</w:t>
            </w:r>
            <w:r>
              <w:rPr>
                <w:rFonts w:hint="eastAsia" w:ascii="仿宋" w:hAnsi="仿宋" w:eastAsia="仿宋" w:cs="仿宋"/>
                <w:sz w:val="24"/>
                <w:szCs w:val="24"/>
                <w:lang w:val="en-US" w:eastAsia="zh-CN"/>
              </w:rPr>
              <w:t>功能</w:t>
            </w:r>
            <w:r>
              <w:rPr>
                <w:rFonts w:hint="eastAsia" w:ascii="仿宋" w:hAnsi="仿宋" w:eastAsia="仿宋" w:cs="仿宋"/>
                <w:sz w:val="24"/>
                <w:szCs w:val="24"/>
                <w:lang w:eastAsia="zh-CN"/>
              </w:rPr>
              <w:t>；</w:t>
            </w:r>
          </w:p>
          <w:p>
            <w:pPr>
              <w:pStyle w:val="61"/>
              <w:keepNext w:val="0"/>
              <w:keepLines w:val="0"/>
              <w:pageBreakBefore w:val="0"/>
              <w:numPr>
                <w:ilvl w:val="0"/>
                <w:numId w:val="0"/>
              </w:numPr>
              <w:kinsoku/>
              <w:wordWrap/>
              <w:overflowPunct/>
              <w:topLinePunct w:val="0"/>
              <w:autoSpaceDE/>
              <w:autoSpaceDN/>
              <w:bidi w:val="0"/>
              <w:adjustRightInd/>
              <w:snapToGrid/>
              <w:ind w:lef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rPr>
              <w:t>26、具备</w:t>
            </w:r>
            <w:r>
              <w:rPr>
                <w:rFonts w:hint="eastAsia" w:ascii="仿宋" w:hAnsi="仿宋" w:eastAsia="仿宋" w:cs="仿宋"/>
                <w:sz w:val="24"/>
                <w:szCs w:val="24"/>
              </w:rPr>
              <w:t>对脉络膜大中血管进行自动识别并计算血管体积及血管指数</w:t>
            </w:r>
            <w:r>
              <w:rPr>
                <w:rFonts w:hint="eastAsia" w:ascii="仿宋" w:hAnsi="仿宋" w:eastAsia="仿宋" w:cs="仿宋"/>
                <w:sz w:val="24"/>
                <w:szCs w:val="24"/>
                <w:lang w:val="en-US" w:eastAsia="zh-CN"/>
              </w:rPr>
              <w:t>功能</w:t>
            </w:r>
            <w:r>
              <w:rPr>
                <w:rFonts w:hint="eastAsia" w:ascii="仿宋" w:hAnsi="仿宋" w:eastAsia="仿宋" w:cs="仿宋"/>
                <w:sz w:val="24"/>
                <w:szCs w:val="24"/>
                <w:lang w:eastAsia="zh-CN"/>
              </w:rPr>
              <w:t>；</w:t>
            </w:r>
          </w:p>
          <w:p>
            <w:pPr>
              <w:pStyle w:val="61"/>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27、具有</w:t>
            </w:r>
            <w:r>
              <w:rPr>
                <w:rFonts w:hint="eastAsia" w:ascii="仿宋" w:hAnsi="仿宋" w:eastAsia="仿宋" w:cs="仿宋"/>
                <w:sz w:val="24"/>
                <w:szCs w:val="24"/>
              </w:rPr>
              <w:t>自定义量化图形，如圆形、网格、ETDRS环的大小，量化数据可导出为表格</w:t>
            </w:r>
            <w:r>
              <w:rPr>
                <w:rFonts w:hint="eastAsia" w:ascii="仿宋" w:hAnsi="仿宋" w:eastAsia="仿宋" w:cs="仿宋"/>
                <w:sz w:val="24"/>
                <w:szCs w:val="24"/>
                <w:lang w:eastAsia="zh-CN"/>
              </w:rPr>
              <w:t>；</w:t>
            </w:r>
          </w:p>
          <w:p>
            <w:pPr>
              <w:pStyle w:val="61"/>
              <w:keepNext w:val="0"/>
              <w:keepLines w:val="0"/>
              <w:pageBreakBefore w:val="0"/>
              <w:numPr>
                <w:ilvl w:val="0"/>
                <w:numId w:val="0"/>
              </w:numPr>
              <w:kinsoku/>
              <w:wordWrap/>
              <w:overflowPunct/>
              <w:topLinePunct w:val="0"/>
              <w:autoSpaceDE/>
              <w:autoSpaceDN/>
              <w:bidi w:val="0"/>
              <w:adjustRightInd/>
              <w:snapToGrid/>
              <w:ind w:lef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rPr>
              <w:t>28、具备</w:t>
            </w:r>
            <w:r>
              <w:rPr>
                <w:rFonts w:hint="eastAsia" w:ascii="仿宋" w:hAnsi="仿宋" w:eastAsia="仿宋" w:cs="仿宋"/>
                <w:sz w:val="24"/>
                <w:szCs w:val="24"/>
              </w:rPr>
              <w:t>显示全景前节断层结构（一次扫描同时显示角膜全层、双侧房角、前房、晶状体前囊及后囊、前部玻璃体的断层结构）</w:t>
            </w:r>
            <w:r>
              <w:rPr>
                <w:rFonts w:hint="eastAsia" w:ascii="仿宋" w:hAnsi="仿宋" w:eastAsia="仿宋" w:cs="仿宋"/>
                <w:sz w:val="24"/>
                <w:szCs w:val="24"/>
                <w:lang w:eastAsia="zh-CN"/>
              </w:rPr>
              <w:t>；</w:t>
            </w:r>
          </w:p>
          <w:p>
            <w:pPr>
              <w:pStyle w:val="61"/>
              <w:keepNext w:val="0"/>
              <w:keepLines w:val="0"/>
              <w:pageBreakBefore w:val="0"/>
              <w:numPr>
                <w:ilvl w:val="0"/>
                <w:numId w:val="0"/>
              </w:numPr>
              <w:kinsoku/>
              <w:wordWrap/>
              <w:overflowPunct/>
              <w:topLinePunct w:val="0"/>
              <w:autoSpaceDE/>
              <w:autoSpaceDN/>
              <w:bidi w:val="0"/>
              <w:adjustRightInd/>
              <w:snapToGrid/>
              <w:ind w:lef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rPr>
              <w:t>29、</w:t>
            </w:r>
            <w:r>
              <w:rPr>
                <w:rFonts w:hint="eastAsia" w:ascii="仿宋" w:hAnsi="仿宋" w:eastAsia="仿宋" w:cs="仿宋"/>
                <w:sz w:val="24"/>
                <w:szCs w:val="24"/>
              </w:rPr>
              <w:t>具备小梁虹膜空间面积、房角开放距离、小梁虹膜夹角、房角隐窝面积自动测量功能</w:t>
            </w:r>
            <w:r>
              <w:rPr>
                <w:rFonts w:hint="eastAsia" w:ascii="仿宋" w:hAnsi="仿宋" w:eastAsia="仿宋" w:cs="仿宋"/>
                <w:sz w:val="24"/>
                <w:szCs w:val="24"/>
                <w:lang w:eastAsia="zh-CN"/>
              </w:rPr>
              <w:t>；</w:t>
            </w:r>
          </w:p>
          <w:p>
            <w:pPr>
              <w:pStyle w:val="61"/>
              <w:keepNext w:val="0"/>
              <w:keepLines w:val="0"/>
              <w:pageBreakBefore w:val="0"/>
              <w:numPr>
                <w:ilvl w:val="0"/>
                <w:numId w:val="0"/>
              </w:numPr>
              <w:kinsoku/>
              <w:wordWrap/>
              <w:overflowPunct/>
              <w:topLinePunct w:val="0"/>
              <w:autoSpaceDE/>
              <w:autoSpaceDN/>
              <w:bidi w:val="0"/>
              <w:adjustRightInd/>
              <w:snapToGrid/>
              <w:ind w:lef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rPr>
              <w:t>30、</w:t>
            </w:r>
            <w:r>
              <w:rPr>
                <w:rFonts w:hint="eastAsia" w:ascii="仿宋" w:hAnsi="仿宋" w:eastAsia="仿宋" w:cs="仿宋"/>
                <w:sz w:val="24"/>
                <w:szCs w:val="24"/>
              </w:rPr>
              <w:t>具备ICL拱高自动测量功能</w:t>
            </w:r>
            <w:r>
              <w:rPr>
                <w:rFonts w:hint="eastAsia" w:ascii="仿宋" w:hAnsi="仿宋" w:eastAsia="仿宋" w:cs="仿宋"/>
                <w:sz w:val="24"/>
                <w:szCs w:val="24"/>
                <w:lang w:eastAsia="zh-CN"/>
              </w:rPr>
              <w:t>；</w:t>
            </w:r>
          </w:p>
          <w:p>
            <w:pPr>
              <w:pStyle w:val="61"/>
              <w:keepNext w:val="0"/>
              <w:keepLines w:val="0"/>
              <w:pageBreakBefore w:val="0"/>
              <w:numPr>
                <w:ilvl w:val="0"/>
                <w:numId w:val="0"/>
              </w:numPr>
              <w:kinsoku/>
              <w:wordWrap/>
              <w:overflowPunct/>
              <w:topLinePunct w:val="0"/>
              <w:autoSpaceDE/>
              <w:autoSpaceDN/>
              <w:bidi w:val="0"/>
              <w:adjustRightInd/>
              <w:snapToGrid/>
              <w:ind w:lef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rPr>
              <w:t>31、</w:t>
            </w:r>
            <w:r>
              <w:rPr>
                <w:rFonts w:hint="eastAsia" w:ascii="仿宋" w:hAnsi="仿宋" w:eastAsia="仿宋" w:cs="仿宋"/>
                <w:sz w:val="24"/>
                <w:szCs w:val="24"/>
              </w:rPr>
              <w:t>具备角膜瓣厚度自动测量功能</w:t>
            </w:r>
            <w:r>
              <w:rPr>
                <w:rFonts w:hint="eastAsia" w:ascii="仿宋" w:hAnsi="仿宋" w:eastAsia="仿宋" w:cs="仿宋"/>
                <w:sz w:val="24"/>
                <w:szCs w:val="24"/>
                <w:lang w:eastAsia="zh-CN"/>
              </w:rPr>
              <w:t>；</w:t>
            </w:r>
          </w:p>
          <w:p>
            <w:pPr>
              <w:pStyle w:val="61"/>
              <w:keepNext w:val="0"/>
              <w:keepLines w:val="0"/>
              <w:pageBreakBefore w:val="0"/>
              <w:numPr>
                <w:ilvl w:val="0"/>
                <w:numId w:val="0"/>
              </w:numPr>
              <w:kinsoku/>
              <w:wordWrap/>
              <w:overflowPunct/>
              <w:topLinePunct w:val="0"/>
              <w:autoSpaceDE/>
              <w:autoSpaceDN/>
              <w:bidi w:val="0"/>
              <w:adjustRightInd/>
              <w:snapToGrid/>
              <w:ind w:leftChars="0" w:firstLine="0" w:firstLineChars="0"/>
              <w:jc w:val="left"/>
              <w:rPr>
                <w:rFonts w:hint="eastAsia" w:ascii="仿宋" w:hAnsi="仿宋" w:eastAsia="仿宋" w:cs="仿宋"/>
                <w:sz w:val="24"/>
                <w:szCs w:val="24"/>
                <w:lang w:eastAsia="zh-CN"/>
              </w:rPr>
            </w:pPr>
            <w:r>
              <w:rPr>
                <w:rFonts w:hint="eastAsia" w:ascii="仿宋" w:hAnsi="仿宋" w:eastAsia="仿宋" w:cs="仿宋"/>
                <w:sz w:val="24"/>
                <w:szCs w:val="24"/>
                <w:lang w:val="en-US" w:eastAsia="zh-CN"/>
              </w:rPr>
              <w:t>32、</w:t>
            </w:r>
            <w:r>
              <w:rPr>
                <w:rFonts w:hint="eastAsia" w:ascii="仿宋" w:hAnsi="仿宋" w:eastAsia="仿宋" w:cs="仿宋"/>
                <w:sz w:val="24"/>
                <w:szCs w:val="24"/>
              </w:rPr>
              <w:t>具备角膜地形图、角膜上皮厚度地形图、角膜屈光力四联图功能</w:t>
            </w:r>
            <w:r>
              <w:rPr>
                <w:rFonts w:hint="eastAsia" w:ascii="仿宋" w:hAnsi="仿宋" w:eastAsia="仿宋" w:cs="仿宋"/>
                <w:sz w:val="24"/>
                <w:szCs w:val="24"/>
                <w:lang w:eastAsia="zh-CN"/>
              </w:rPr>
              <w:t>；</w:t>
            </w:r>
          </w:p>
          <w:p>
            <w:pPr>
              <w:pStyle w:val="61"/>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szCs w:val="24"/>
                <w:lang w:val="en-US" w:eastAsia="zh-CN"/>
              </w:rPr>
              <w:t>33、</w:t>
            </w:r>
            <w:r>
              <w:rPr>
                <w:rFonts w:hint="eastAsia" w:ascii="仿宋" w:hAnsi="仿宋" w:eastAsia="仿宋" w:cs="仿宋"/>
                <w:sz w:val="24"/>
                <w:szCs w:val="24"/>
              </w:rPr>
              <w:t>具备圆锥角膜分析功能</w:t>
            </w:r>
            <w:r>
              <w:rPr>
                <w:rFonts w:hint="eastAsia" w:ascii="仿宋" w:hAnsi="仿宋" w:eastAsia="仿宋" w:cs="仿宋"/>
                <w:sz w:val="24"/>
                <w:szCs w:val="24"/>
                <w:lang w:eastAsia="zh-CN"/>
              </w:rPr>
              <w:t>；</w:t>
            </w:r>
          </w:p>
          <w:p>
            <w:pPr>
              <w:pStyle w:val="61"/>
              <w:keepNext w:val="0"/>
              <w:keepLines w:val="0"/>
              <w:pageBreakBefore w:val="0"/>
              <w:numPr>
                <w:ilvl w:val="0"/>
                <w:numId w:val="0"/>
              </w:numPr>
              <w:kinsoku/>
              <w:wordWrap/>
              <w:overflowPunct/>
              <w:topLinePunct w:val="0"/>
              <w:autoSpaceDE/>
              <w:autoSpaceDN/>
              <w:bidi w:val="0"/>
              <w:adjustRightInd/>
              <w:snapToGrid/>
              <w:ind w:firstLine="0" w:firstLineChars="0"/>
              <w:jc w:val="left"/>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sz w:val="24"/>
                <w:szCs w:val="24"/>
                <w:lang w:val="en-US" w:eastAsia="zh-CN"/>
              </w:rPr>
              <w:t>34、</w:t>
            </w:r>
            <w:r>
              <w:rPr>
                <w:rFonts w:hint="eastAsia" w:ascii="仿宋" w:hAnsi="仿宋" w:eastAsia="仿宋" w:cs="仿宋"/>
                <w:sz w:val="24"/>
                <w:szCs w:val="24"/>
              </w:rPr>
              <w:t>具备一键全自动对准及对焦功能，包含瞳孔自动居中、工作距离自动调节、OCT图像自动居中及对焦、OCT信号自动调节至最强信号</w:t>
            </w:r>
            <w:r>
              <w:rPr>
                <w:rFonts w:hint="eastAsia" w:ascii="仿宋" w:hAnsi="仿宋" w:eastAsia="仿宋" w:cs="仿宋"/>
                <w:sz w:val="24"/>
                <w:szCs w:val="24"/>
                <w:lang w:eastAsia="zh-CN"/>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35、配备图像处理工作站：</w:t>
            </w:r>
            <w:r>
              <w:rPr>
                <w:rFonts w:hint="eastAsia" w:ascii="仿宋" w:hAnsi="仿宋" w:eastAsia="仿宋" w:cs="仿宋"/>
                <w:sz w:val="24"/>
                <w:szCs w:val="24"/>
              </w:rPr>
              <w:t>CPU性能≥四核主频3.0GHz，DDR4内存≥16G，SSD≥500G；HDD≥8TB（支持外接扩展），显卡RTX2060或以上，显示器屏幕≥24英寸</w:t>
            </w:r>
            <w:r>
              <w:rPr>
                <w:rFonts w:hint="eastAsia" w:ascii="仿宋" w:hAnsi="仿宋" w:eastAsia="仿宋" w:cs="仿宋"/>
                <w:sz w:val="24"/>
                <w:szCs w:val="24"/>
                <w:lang w:eastAsia="zh-CN"/>
              </w:rPr>
              <w:t>。</w:t>
            </w:r>
          </w:p>
        </w:tc>
      </w:tr>
    </w:tbl>
    <w:p>
      <w:pPr>
        <w:rPr>
          <w:rFonts w:hint="eastAsia" w:ascii="仿宋" w:hAnsi="仿宋" w:eastAsia="仿宋" w:cs="仿宋"/>
          <w:i w:val="0"/>
          <w:iCs w:val="0"/>
          <w:color w:val="000000"/>
          <w:kern w:val="0"/>
          <w:sz w:val="24"/>
          <w:szCs w:val="24"/>
          <w:u w:val="none"/>
          <w:lang w:val="en-US" w:eastAsia="zh-CN" w:bidi="ar"/>
        </w:rPr>
      </w:pPr>
      <w:r>
        <w:rPr>
          <w:rFonts w:hint="eastAsia" w:ascii="仿宋" w:hAnsi="仿宋" w:cs="仿宋"/>
          <w:i w:val="0"/>
          <w:iCs w:val="0"/>
          <w:color w:val="000000"/>
          <w:kern w:val="0"/>
          <w:sz w:val="24"/>
          <w:szCs w:val="24"/>
          <w:u w:val="none"/>
          <w:lang w:val="en-US" w:eastAsia="zh-CN" w:bidi="ar"/>
        </w:rPr>
        <w:t>商务要求：</w:t>
      </w:r>
    </w:p>
    <w:p>
      <w:pPr>
        <w:ind w:left="0" w:leftChars="0" w:firstLine="0" w:firstLineChars="0"/>
        <w:rPr>
          <w:rFonts w:hint="eastAsia" w:ascii="仿宋" w:hAnsi="仿宋" w:eastAsia="仿宋" w:cs="仿宋"/>
          <w:color w:val="auto"/>
          <w:sz w:val="24"/>
          <w:szCs w:val="24"/>
          <w:highlight w:val="none"/>
          <w:lang w:val="en-US" w:eastAsia="zh-CN"/>
        </w:rPr>
      </w:pPr>
      <w:r>
        <w:rPr>
          <w:rFonts w:hint="eastAsia" w:ascii="仿宋" w:hAnsi="仿宋" w:eastAsia="仿宋" w:cs="仿宋"/>
          <w:i w:val="0"/>
          <w:iCs w:val="0"/>
          <w:color w:val="000000"/>
          <w:kern w:val="0"/>
          <w:sz w:val="24"/>
          <w:szCs w:val="24"/>
          <w:u w:val="none"/>
          <w:lang w:val="en-US" w:eastAsia="zh-CN" w:bidi="ar"/>
        </w:rPr>
        <w:t>1.签订合同后设备一个月内交货且检测验收合格。</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2.所有产品的交货地点均由采购人指定。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3.在设备到货后一周内对设备进行安装调试及用户培训，培训人数不限，培训次数不限，用户不承担培训任何培训费用。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4.设备交付验收合格之日起质保期三年。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5.供货商在12小时内响应维护服务，24小时内到达现场维修。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6.每年两次免费上门保养。</w:t>
      </w:r>
      <w:r>
        <w:rPr>
          <w:rFonts w:hint="eastAsia" w:ascii="仿宋" w:hAnsi="仿宋" w:eastAsia="仿宋" w:cs="仿宋"/>
          <w:color w:val="auto"/>
          <w:sz w:val="24"/>
          <w:szCs w:val="24"/>
          <w:highlight w:val="none"/>
          <w:lang w:val="en-US" w:eastAsia="zh-CN"/>
        </w:rPr>
        <w:br w:type="page"/>
      </w:r>
    </w:p>
    <w:p>
      <w:pPr>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B包：预算：80万元     可采进口</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003"/>
        <w:gridCol w:w="788"/>
        <w:gridCol w:w="788"/>
        <w:gridCol w:w="64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97"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序号</w:t>
            </w:r>
          </w:p>
        </w:tc>
        <w:tc>
          <w:tcPr>
            <w:tcW w:w="509"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设备名称</w:t>
            </w:r>
          </w:p>
        </w:tc>
        <w:tc>
          <w:tcPr>
            <w:tcW w:w="400"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单位</w:t>
            </w:r>
          </w:p>
        </w:tc>
        <w:tc>
          <w:tcPr>
            <w:tcW w:w="400"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数量</w:t>
            </w:r>
          </w:p>
        </w:tc>
        <w:tc>
          <w:tcPr>
            <w:tcW w:w="3291"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技术参数要求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9" w:hRule="atLeast"/>
        </w:trPr>
        <w:tc>
          <w:tcPr>
            <w:tcW w:w="397"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cs="仿宋"/>
                <w:i w:val="0"/>
                <w:iCs w:val="0"/>
                <w:color w:val="000000"/>
                <w:sz w:val="24"/>
                <w:szCs w:val="24"/>
                <w:u w:val="none"/>
                <w:lang w:val="en-US" w:eastAsia="zh-CN"/>
              </w:rPr>
              <w:t>1</w:t>
            </w:r>
          </w:p>
        </w:tc>
        <w:tc>
          <w:tcPr>
            <w:tcW w:w="509"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lang w:val="en-US"/>
              </w:rPr>
            </w:pPr>
            <w:r>
              <w:rPr>
                <w:rFonts w:hint="eastAsia" w:ascii="仿宋" w:hAnsi="仿宋" w:eastAsia="仿宋" w:cs="仿宋"/>
                <w:i w:val="0"/>
                <w:iCs w:val="0"/>
                <w:color w:val="000000"/>
                <w:kern w:val="0"/>
                <w:sz w:val="24"/>
                <w:szCs w:val="24"/>
                <w:u w:val="none"/>
                <w:lang w:val="en-US" w:eastAsia="zh-CN" w:bidi="ar"/>
              </w:rPr>
              <w:t>数码裂隙照相</w:t>
            </w:r>
            <w:r>
              <w:rPr>
                <w:rFonts w:hint="eastAsia" w:ascii="仿宋" w:hAnsi="仿宋" w:cs="仿宋"/>
                <w:i w:val="0"/>
                <w:iCs w:val="0"/>
                <w:color w:val="000000"/>
                <w:kern w:val="0"/>
                <w:sz w:val="24"/>
                <w:szCs w:val="24"/>
                <w:u w:val="none"/>
                <w:lang w:val="en-US" w:eastAsia="zh-CN" w:bidi="ar"/>
              </w:rPr>
              <w:t>（核心产品）</w:t>
            </w:r>
          </w:p>
        </w:tc>
        <w:tc>
          <w:tcPr>
            <w:tcW w:w="400"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400"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291"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1.裂隙灯类型：上光源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 双目立体显微镜,有五段放大倍率:6.3X、10X、16X、25X、40X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 五段放大倍率    视野≥         倍率       视野≥</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6.3X    32.0mm         10.0X      20.0mm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16.0X   12.7mm         25.0X      8.0mm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40.0X   5.1mm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 接目镜放大率12.5X,可做屈光调整-8D～+8D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 隙裂宽度:0～8mm 连续可调。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6. 隙裂长度:1～8mm 连续可调。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 隙裂旋转角度:-90°～+90°连续可调。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8. 隙裂倾斜角度:0～18°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 滤镜:蓝光滤镜,绿光滤镜,灰光滤镜,吸热滤镜等。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10.瞳距范围:52～75mm。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11.光轴角度:13°。</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12.光源：LED光源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13.外接单反相机，＞3200万像素。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14.100%的光线用于检查和拍摄，具有同步闪光功能。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15.图象处理软件:专业级眼科图象处理软件，具有详尽的资料库。</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16.独立的闪光灯系统，闪光灯位置180°可调，闪光灯强度可调。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17.光圈≥5段可调</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18.人性化分离式快门设计。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397"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lang w:val="en-US" w:eastAsia="zh-CN"/>
              </w:rPr>
            </w:pPr>
            <w:r>
              <w:rPr>
                <w:rFonts w:hint="eastAsia" w:ascii="仿宋" w:hAnsi="仿宋" w:cs="仿宋"/>
                <w:i w:val="0"/>
                <w:iCs w:val="0"/>
                <w:color w:val="000000"/>
                <w:sz w:val="24"/>
                <w:szCs w:val="24"/>
                <w:u w:val="none"/>
                <w:lang w:val="en-US" w:eastAsia="zh-CN"/>
              </w:rPr>
              <w:t>2</w:t>
            </w:r>
          </w:p>
        </w:tc>
        <w:tc>
          <w:tcPr>
            <w:tcW w:w="509"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免散瞳眼底照相</w:t>
            </w:r>
          </w:p>
        </w:tc>
        <w:tc>
          <w:tcPr>
            <w:tcW w:w="400"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台</w:t>
            </w:r>
          </w:p>
        </w:tc>
        <w:tc>
          <w:tcPr>
            <w:tcW w:w="400" w:type="pct"/>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3291" w:type="pct"/>
            <w:noWrap w:val="0"/>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1.类型：数字眼底照相机、免散瞳型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2.观察角度≥45°</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3.分辨率≥3200万像素</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4.数码相机连接方式：外接式同品牌单反相机，专业定制的医疗级相机</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5.最小瞳孔直径￠4.2mm（SP模式：约￠3.3mm）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6.工作距离：物镜前≥35mm</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7.无补偿透镜：-10D～+15D</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负补偿透镜：-31D ～-7D</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  正补偿透镜:+11D～+30D</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8. 工作距离调整：劈裂线调整、工作距离点调整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9.曝光补偿：自动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10.对焦方式：自动对焦、手动直线式劈裂线对焦</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11.外眼显示: 分离瞳孔调节；视网膜显示: 工作距离点调节</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12.外眼拍摄：彩照、红外光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13.内眼拍摄：彩照、无赤光、钴蓝光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14.拍摄模式：自动、手动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15.内外眼切换：自动、手动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16.内固视目标：LED点矩阵 (＞60点),绿色</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17.光源:红外LED/白色LED</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18.显示器：专门定制的医疗EOS相机液晶屏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19.显示模式：彩色、无赤光、蓝光、红光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20.ISO：400/800/1600/3200/6400  具有低闪光模式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21.尺寸：长（500）X宽（305）X高（473）重量：15Kg</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22.放大模式：具有2倍放大模式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23.专业图像处理软件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24具有白内障降浊功能</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25.前节拍摄：红外拍摄获得睑板腺状态影像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26.视盘立体成像</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kern w:val="0"/>
                <w:sz w:val="24"/>
                <w:szCs w:val="24"/>
                <w:u w:val="none"/>
                <w:lang w:val="en-US" w:eastAsia="zh-CN" w:bidi="ar"/>
              </w:rPr>
            </w:pPr>
            <w:r>
              <w:rPr>
                <w:rFonts w:hint="eastAsia" w:ascii="仿宋" w:hAnsi="仿宋" w:eastAsia="仿宋" w:cs="仿宋"/>
                <w:i w:val="0"/>
                <w:iCs w:val="0"/>
                <w:color w:val="000000"/>
                <w:kern w:val="0"/>
                <w:sz w:val="24"/>
                <w:szCs w:val="24"/>
                <w:u w:val="none"/>
                <w:lang w:val="en-US" w:eastAsia="zh-CN" w:bidi="ar"/>
              </w:rPr>
              <w:t>27.报告模式：报告中图片数量自定义</w:t>
            </w:r>
          </w:p>
          <w:p>
            <w:pPr>
              <w:keepNext w:val="0"/>
              <w:keepLines w:val="0"/>
              <w:pageBreakBefore w:val="0"/>
              <w:widowControl/>
              <w:numPr>
                <w:ilvl w:val="0"/>
                <w:numId w:val="0"/>
              </w:numPr>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28.附带图像处理工作站一套带打印功能 （配置按用户要求提供）。</w:t>
            </w:r>
          </w:p>
        </w:tc>
      </w:tr>
    </w:tbl>
    <w:p>
      <w:pPr>
        <w:ind w:left="0" w:leftChars="0" w:firstLine="0" w:firstLineChars="0"/>
        <w:rPr>
          <w:rFonts w:hint="eastAsia" w:ascii="仿宋" w:hAnsi="仿宋" w:cs="仿宋"/>
          <w:color w:val="auto"/>
          <w:sz w:val="24"/>
          <w:szCs w:val="24"/>
          <w:highlight w:val="none"/>
          <w:lang w:val="en-US" w:eastAsia="zh-CN"/>
        </w:rPr>
      </w:pPr>
      <w:r>
        <w:rPr>
          <w:rFonts w:hint="eastAsia" w:ascii="仿宋" w:hAnsi="仿宋" w:cs="仿宋"/>
          <w:color w:val="auto"/>
          <w:sz w:val="24"/>
          <w:szCs w:val="24"/>
          <w:highlight w:val="none"/>
          <w:lang w:val="en-US" w:eastAsia="zh-CN"/>
        </w:rPr>
        <w:t>商务要求：</w:t>
      </w:r>
    </w:p>
    <w:p>
      <w:pPr>
        <w:ind w:left="0" w:leftChars="0" w:firstLine="0" w:firstLineChars="0"/>
        <w:rPr>
          <w:rFonts w:hint="eastAsia" w:ascii="仿宋" w:hAnsi="仿宋" w:eastAsia="仿宋" w:cs="仿宋"/>
          <w:b/>
          <w:bCs/>
          <w:color w:val="auto"/>
          <w:sz w:val="24"/>
          <w:highlight w:val="none"/>
        </w:rPr>
        <w:sectPr>
          <w:pgSz w:w="11906" w:h="16838"/>
          <w:pgMar w:top="1134" w:right="992" w:bottom="1440" w:left="1276" w:header="851" w:footer="992" w:gutter="0"/>
          <w:cols w:space="0" w:num="1"/>
          <w:rtlGutter w:val="0"/>
          <w:docGrid w:type="lines" w:linePitch="332" w:charSpace="0"/>
        </w:sectPr>
      </w:pPr>
      <w:r>
        <w:rPr>
          <w:rFonts w:hint="eastAsia" w:ascii="仿宋" w:hAnsi="仿宋" w:eastAsia="仿宋" w:cs="仿宋"/>
          <w:i w:val="0"/>
          <w:iCs w:val="0"/>
          <w:color w:val="000000"/>
          <w:kern w:val="0"/>
          <w:sz w:val="24"/>
          <w:szCs w:val="24"/>
          <w:u w:val="none"/>
          <w:lang w:val="en-US" w:eastAsia="zh-CN" w:bidi="ar"/>
        </w:rPr>
        <w:t>1.签订合同后设备三个月内交货且检测验收合格。</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2.所有产品的交货地点均由采购人指定。</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3.在设备到货后一周内对设备进行安装调试及用户培训，培训人数不限，培训次数不限，用户不承担培训任何培训费用。</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4.设备交付验收合格之日起进口设备质保期一年。</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5.供货商在12小时内响应维护服务，24小时内到达现场维修。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6.每年两次免费上门保养。</w:t>
      </w:r>
      <w:r>
        <w:rPr>
          <w:rFonts w:hint="eastAsia" w:ascii="仿宋" w:hAnsi="仿宋" w:eastAsia="仿宋" w:cs="仿宋"/>
          <w:color w:val="auto"/>
          <w:sz w:val="24"/>
          <w:szCs w:val="24"/>
          <w:highlight w:val="none"/>
          <w:lang w:val="en-US" w:eastAsia="zh-CN"/>
        </w:rPr>
        <w:br w:type="page"/>
      </w:r>
    </w:p>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1、厂家提供免费安装、培训服务，并提供维护手册、维修手册、软件备份、故障代码表、备件清单、零部件、维修密码等维护维修必需的材料和信息。</w:t>
      </w:r>
    </w:p>
    <w:p>
      <w:pPr>
        <w:pStyle w:val="22"/>
        <w:ind w:left="0" w:leftChars="0" w:firstLine="480"/>
        <w:rPr>
          <w:rFonts w:hint="eastAsia" w:ascii="仿宋" w:hAnsi="仿宋" w:eastAsia="仿宋" w:cs="仿宋"/>
          <w:b w:val="0"/>
          <w:bCs w:val="0"/>
          <w:color w:val="auto"/>
          <w:highlight w:val="none"/>
        </w:rPr>
      </w:pPr>
      <w:r>
        <w:rPr>
          <w:rFonts w:hint="eastAsia" w:ascii="仿宋" w:hAnsi="仿宋" w:eastAsia="仿宋" w:cs="仿宋"/>
          <w:b w:val="0"/>
          <w:bCs w:val="0"/>
          <w:color w:val="auto"/>
          <w:sz w:val="24"/>
          <w:szCs w:val="24"/>
          <w:highlight w:val="none"/>
        </w:rPr>
        <w:t>5、交货期：自行填写（</w:t>
      </w:r>
      <w:r>
        <w:rPr>
          <w:rFonts w:hint="eastAsia" w:ascii="仿宋" w:hAnsi="仿宋" w:eastAsia="仿宋" w:cs="仿宋"/>
          <w:b w:val="0"/>
          <w:bCs w:val="0"/>
          <w:color w:val="auto"/>
          <w:sz w:val="24"/>
          <w:szCs w:val="24"/>
          <w:highlight w:val="none"/>
          <w:lang w:eastAsia="zh-CN"/>
        </w:rPr>
        <w:t>需填写具体日期如签订合同后</w:t>
      </w:r>
      <w:r>
        <w:rPr>
          <w:rFonts w:hint="eastAsia" w:ascii="仿宋" w:hAnsi="仿宋" w:eastAsia="仿宋" w:cs="仿宋"/>
          <w:b w:val="0"/>
          <w:bCs w:val="0"/>
          <w:color w:val="auto"/>
          <w:sz w:val="24"/>
          <w:szCs w:val="24"/>
          <w:highlight w:val="none"/>
          <w:lang w:val="en-US" w:eastAsia="zh-CN"/>
        </w:rPr>
        <w:t>XX日</w:t>
      </w:r>
      <w:r>
        <w:rPr>
          <w:rFonts w:hint="eastAsia" w:ascii="仿宋" w:hAnsi="仿宋" w:eastAsia="仿宋" w:cs="仿宋"/>
          <w:b w:val="0"/>
          <w:bCs w:val="0"/>
          <w:color w:val="auto"/>
          <w:sz w:val="24"/>
          <w:szCs w:val="24"/>
          <w:highlight w:val="none"/>
        </w:rPr>
        <w:t>）。</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6、交货地点：严格按照国家相关要求的运输方式送到用户指定地点。</w:t>
      </w:r>
    </w:p>
    <w:p>
      <w:pPr>
        <w:rPr>
          <w:rFonts w:hint="eastAsia" w:ascii="仿宋" w:hAnsi="仿宋" w:eastAsia="仿宋" w:cs="仿宋"/>
          <w:color w:val="auto"/>
          <w:highlight w:val="none"/>
          <w:lang w:val="en-US" w:eastAsia="zh-CN"/>
        </w:rPr>
      </w:pPr>
      <w:r>
        <w:rPr>
          <w:rFonts w:hint="eastAsia" w:ascii="仿宋" w:hAnsi="仿宋" w:eastAsia="仿宋" w:cs="仿宋"/>
          <w:b w:val="0"/>
          <w:bCs w:val="0"/>
          <w:color w:val="auto"/>
          <w:sz w:val="24"/>
          <w:szCs w:val="24"/>
          <w:highlight w:val="none"/>
          <w:lang w:val="en-US" w:eastAsia="zh-CN"/>
        </w:rPr>
        <w:t>7、质保期：详见参数；</w:t>
      </w:r>
    </w:p>
    <w:p>
      <w:pPr>
        <w:pStyle w:val="2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8、供货地点：所有产品的供货、安装地点均由用户指定。</w:t>
      </w:r>
    </w:p>
    <w:p>
      <w:pPr>
        <w:rPr>
          <w:rFonts w:hint="eastAsia"/>
          <w:lang w:val="en-US" w:eastAsia="zh-CN"/>
        </w:rPr>
      </w:pPr>
      <w:r>
        <w:rPr>
          <w:rFonts w:hint="eastAsia"/>
          <w:lang w:val="en-US" w:eastAsia="zh-CN"/>
        </w:rPr>
        <w:t>9、货物运抵现场后，卖方应在7天内派工程技术人员到达现场，采购人将对货物（试剂）数量、质量、规格等进行检验。如发现货物（试剂）和规格或者两者都与招标文件、投标文件、合同不符，采购人有权限根据检验结果要求中标人立即更换或者提出索赔要求。</w:t>
      </w:r>
    </w:p>
    <w:p>
      <w:pPr>
        <w:rPr>
          <w:rFonts w:hint="eastAsia"/>
          <w:lang w:val="en-US" w:eastAsia="zh-CN"/>
        </w:rPr>
      </w:pPr>
      <w:r>
        <w:rPr>
          <w:rFonts w:hint="eastAsia"/>
          <w:lang w:val="en-US" w:eastAsia="zh-CN"/>
        </w:rPr>
        <w:t>10、货物由中标人进行安装、调试，并承担因此发生的一切费用。完毕后，采购人应对货物（试剂）的数量、质量、规格、性能等进行详细而全面的检验。</w:t>
      </w:r>
    </w:p>
    <w:p>
      <w:pPr>
        <w:pStyle w:val="22"/>
        <w:spacing w:line="360" w:lineRule="auto"/>
        <w:ind w:left="0" w:leftChars="0" w:firstLine="480"/>
        <w:rPr>
          <w:rFonts w:hint="eastAsia" w:ascii="仿宋" w:hAnsi="仿宋" w:eastAsia="仿宋" w:cs="仿宋"/>
          <w:color w:val="auto"/>
          <w:sz w:val="24"/>
          <w:highlight w:val="none"/>
        </w:rPr>
      </w:pPr>
      <w:r>
        <w:rPr>
          <w:rFonts w:hint="eastAsia" w:ascii="仿宋" w:hAnsi="仿宋" w:cs="仿宋"/>
          <w:color w:val="auto"/>
          <w:sz w:val="24"/>
          <w:highlight w:val="none"/>
          <w:lang w:val="en-US" w:eastAsia="zh-CN"/>
        </w:rPr>
        <w:t>11</w:t>
      </w:r>
      <w:r>
        <w:rPr>
          <w:rFonts w:hint="eastAsia" w:ascii="仿宋" w:hAnsi="仿宋" w:eastAsia="仿宋" w:cs="仿宋"/>
          <w:color w:val="auto"/>
          <w:sz w:val="24"/>
          <w:highlight w:val="none"/>
          <w:lang w:val="en-US" w:eastAsia="zh-CN"/>
        </w:rPr>
        <w:t>、</w:t>
      </w:r>
      <w:r>
        <w:rPr>
          <w:rFonts w:hint="eastAsia" w:ascii="仿宋" w:hAnsi="仿宋" w:eastAsia="仿宋" w:cs="仿宋"/>
          <w:color w:val="auto"/>
          <w:sz w:val="24"/>
          <w:highlight w:val="none"/>
        </w:rPr>
        <w:t>付款方式：</w:t>
      </w:r>
    </w:p>
    <w:p>
      <w:pPr>
        <w:pStyle w:val="2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国产设备：</w:t>
      </w:r>
      <w:r>
        <w:rPr>
          <w:rFonts w:hint="eastAsia" w:ascii="仿宋" w:hAnsi="仿宋" w:eastAsia="仿宋" w:cs="仿宋"/>
          <w:color w:val="auto"/>
          <w:sz w:val="24"/>
          <w:highlight w:val="none"/>
        </w:rPr>
        <w:t>同签订后成交供应商向采购人指定账户缴纳合同金额5%的履约保证金。在合同签订生效且具备实施条件后，成交供应商向项目负责人或指定人申请合同金额</w:t>
      </w:r>
      <w:r>
        <w:rPr>
          <w:rFonts w:hint="eastAsia" w:ascii="仿宋" w:hAnsi="仿宋" w:eastAsia="仿宋" w:cs="仿宋"/>
          <w:color w:val="auto"/>
          <w:sz w:val="24"/>
          <w:highlight w:val="none"/>
          <w:lang w:val="en-US" w:eastAsia="zh-CN"/>
        </w:rPr>
        <w:t>70</w:t>
      </w:r>
      <w:r>
        <w:rPr>
          <w:rFonts w:hint="eastAsia" w:ascii="仿宋" w:hAnsi="仿宋" w:eastAsia="仿宋" w:cs="仿宋"/>
          <w:color w:val="auto"/>
          <w:sz w:val="24"/>
          <w:highlight w:val="none"/>
        </w:rPr>
        <w:t>%的预付款，采购人确定后7个工作日内支付。项目验收合格、审计定案（若需要）后7个工作日内，支付剩余合同货款。</w:t>
      </w:r>
    </w:p>
    <w:p>
      <w:pPr>
        <w:pStyle w:val="2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进口设备：合同签订</w:t>
      </w:r>
      <w:r>
        <w:rPr>
          <w:rFonts w:hint="eastAsia" w:ascii="仿宋" w:hAnsi="仿宋" w:eastAsia="仿宋" w:cs="仿宋"/>
          <w:color w:val="auto"/>
          <w:sz w:val="24"/>
          <w:highlight w:val="none"/>
          <w:lang w:eastAsia="zh-CN"/>
        </w:rPr>
        <w:t>后</w:t>
      </w:r>
      <w:r>
        <w:rPr>
          <w:rFonts w:hint="eastAsia" w:ascii="仿宋" w:hAnsi="仿宋" w:eastAsia="仿宋" w:cs="仿宋"/>
          <w:color w:val="auto"/>
          <w:sz w:val="24"/>
          <w:highlight w:val="none"/>
        </w:rPr>
        <w:t>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pStyle w:val="2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外贸公司开具以中标人指定的国外生产商为受益人的不可撤销即期信用证，或货到后电汇。</w:t>
      </w:r>
    </w:p>
    <w:p>
      <w:pPr>
        <w:pStyle w:val="22"/>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w:t>
      </w:r>
      <w:r>
        <w:rPr>
          <w:rFonts w:hint="eastAsia" w:ascii="仿宋" w:hAnsi="仿宋" w:cs="仿宋"/>
          <w:color w:val="auto"/>
          <w:sz w:val="24"/>
          <w:highlight w:val="none"/>
          <w:lang w:val="en-US" w:eastAsia="zh-CN"/>
        </w:rPr>
        <w:t>2</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eastAsia="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pStyle w:val="21"/>
        <w:spacing w:before="0" w:beforeAutospacing="0" w:after="0" w:afterAutospacing="0" w:line="440" w:lineRule="exact"/>
        <w:ind w:firstLine="480" w:firstLineChars="200"/>
        <w:rPr>
          <w:rFonts w:hint="eastAsia" w:ascii="仿宋" w:hAnsi="仿宋" w:eastAsia="仿宋" w:cs="仿宋"/>
          <w:b/>
        </w:rPr>
      </w:pPr>
      <w:r>
        <w:rPr>
          <w:rFonts w:hint="eastAsia" w:ascii="仿宋" w:hAnsi="仿宋" w:eastAsia="仿宋" w:cs="仿宋"/>
          <w:color w:val="auto"/>
          <w:sz w:val="24"/>
          <w:highlight w:val="none"/>
          <w:lang w:val="en-US" w:eastAsia="zh-CN"/>
        </w:rPr>
        <w:t>1</w:t>
      </w:r>
      <w:r>
        <w:rPr>
          <w:rFonts w:hint="eastAsia" w:ascii="仿宋" w:hAnsi="仿宋" w:cs="仿宋"/>
          <w:color w:val="auto"/>
          <w:sz w:val="24"/>
          <w:highlight w:val="none"/>
          <w:lang w:val="en-US" w:eastAsia="zh-CN"/>
        </w:rPr>
        <w:t>3</w:t>
      </w:r>
      <w:r>
        <w:rPr>
          <w:rFonts w:hint="eastAsia" w:ascii="仿宋" w:hAnsi="仿宋" w:eastAsia="仿宋" w:cs="仿宋"/>
          <w:color w:val="auto"/>
          <w:sz w:val="24"/>
          <w:highlight w:val="none"/>
          <w:lang w:val="en-US" w:eastAsia="zh-CN"/>
        </w:rPr>
        <w:t>、</w:t>
      </w:r>
      <w:r>
        <w:rPr>
          <w:rFonts w:hint="eastAsia" w:ascii="仿宋" w:hAnsi="仿宋" w:eastAsia="仿宋" w:cs="仿宋"/>
          <w:b/>
        </w:rPr>
        <w:t>外贸代理收费标准（</w:t>
      </w:r>
      <w:r>
        <w:rPr>
          <w:rFonts w:hint="eastAsia" w:ascii="仿宋" w:hAnsi="仿宋" w:eastAsia="仿宋" w:cs="仿宋"/>
          <w:b/>
          <w:bCs/>
        </w:rPr>
        <w:t>以差额累进法计算</w:t>
      </w:r>
      <w:r>
        <w:rPr>
          <w:rFonts w:hint="eastAsia" w:ascii="仿宋" w:hAnsi="仿宋" w:eastAsia="仿宋" w:cs="仿宋"/>
          <w:b/>
        </w:rPr>
        <w:t>）</w:t>
      </w:r>
    </w:p>
    <w:tbl>
      <w:tblPr>
        <w:tblStyle w:val="23"/>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3"/>
        <w:gridCol w:w="2263"/>
        <w:gridCol w:w="5284"/>
        <w:gridCol w:w="1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序号</w:t>
            </w:r>
          </w:p>
        </w:tc>
        <w:tc>
          <w:tcPr>
            <w:tcW w:w="1149"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lang w:eastAsia="zh-CN"/>
              </w:rPr>
            </w:pPr>
            <w:r>
              <w:rPr>
                <w:rFonts w:hint="eastAsia" w:ascii="仿宋" w:hAnsi="仿宋" w:cs="仿宋"/>
                <w:sz w:val="24"/>
                <w:lang w:eastAsia="zh-CN"/>
              </w:rPr>
              <w:t>外贸代理公司</w:t>
            </w: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委托合同金额（元）</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收费标准（%）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1</w:t>
            </w:r>
          </w:p>
        </w:tc>
        <w:tc>
          <w:tcPr>
            <w:tcW w:w="1149" w:type="pct"/>
            <w:vMerge w:val="restar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olor w:val="000000"/>
                <w:shd w:val="clear" w:color="auto" w:fill="FFFFFF"/>
              </w:rPr>
              <w:t>山东福恩国际贸易有限公司</w:t>
            </w: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rPr>
            </w:pPr>
            <w:r>
              <w:rPr>
                <w:rFonts w:hint="eastAsia" w:ascii="仿宋" w:hAnsi="仿宋" w:eastAsia="仿宋" w:cs="仿宋"/>
                <w:color w:val="000000"/>
                <w:sz w:val="24"/>
                <w:szCs w:val="20"/>
              </w:rPr>
              <w:t>合同金额在30万元（含）以下</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sz w:val="24"/>
              </w:rPr>
            </w:pPr>
            <w:r>
              <w:rPr>
                <w:rStyle w:val="26"/>
                <w:rFonts w:hint="eastAsia" w:ascii="仿宋" w:hAnsi="仿宋" w:eastAsia="仿宋" w:cs="仿宋"/>
                <w:b w:val="0"/>
                <w:bCs/>
                <w:color w:val="000000"/>
                <w:sz w:val="24"/>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2</w:t>
            </w:r>
          </w:p>
        </w:tc>
        <w:tc>
          <w:tcPr>
            <w:tcW w:w="1149" w:type="pct"/>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rPr>
            </w:pPr>
            <w:r>
              <w:rPr>
                <w:rFonts w:hint="eastAsia" w:ascii="仿宋" w:hAnsi="仿宋" w:eastAsia="仿宋" w:cs="仿宋"/>
                <w:color w:val="000000"/>
                <w:sz w:val="24"/>
                <w:szCs w:val="20"/>
              </w:rPr>
              <w:t>合同金额在30万元以上100万元（含）以下</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sz w:val="24"/>
              </w:rPr>
            </w:pPr>
            <w:r>
              <w:rPr>
                <w:rStyle w:val="26"/>
                <w:rFonts w:hint="eastAsia" w:ascii="仿宋" w:hAnsi="仿宋" w:eastAsia="仿宋" w:cs="仿宋"/>
                <w:b w:val="0"/>
                <w:bCs/>
                <w:color w:val="000000"/>
                <w:sz w:val="24"/>
                <w:szCs w:val="20"/>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3</w:t>
            </w:r>
          </w:p>
        </w:tc>
        <w:tc>
          <w:tcPr>
            <w:tcW w:w="1149" w:type="pct"/>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rPr>
            </w:pPr>
            <w:r>
              <w:rPr>
                <w:rFonts w:hint="eastAsia" w:ascii="仿宋" w:hAnsi="仿宋" w:eastAsia="仿宋" w:cs="仿宋"/>
                <w:color w:val="000000"/>
                <w:sz w:val="24"/>
                <w:szCs w:val="20"/>
              </w:rPr>
              <w:t>合同金额在100万元以上300万元（含）以下</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sz w:val="24"/>
              </w:rPr>
            </w:pPr>
            <w:r>
              <w:rPr>
                <w:rStyle w:val="26"/>
                <w:rFonts w:hint="eastAsia" w:ascii="仿宋" w:hAnsi="仿宋" w:eastAsia="仿宋" w:cs="仿宋"/>
                <w:b w:val="0"/>
                <w:bCs/>
                <w:color w:val="000000"/>
                <w:sz w:val="24"/>
                <w:szCs w:val="20"/>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4</w:t>
            </w:r>
          </w:p>
        </w:tc>
        <w:tc>
          <w:tcPr>
            <w:tcW w:w="1149" w:type="pct"/>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rPr>
            </w:pPr>
            <w:r>
              <w:rPr>
                <w:rFonts w:hint="eastAsia" w:ascii="仿宋" w:hAnsi="仿宋" w:eastAsia="仿宋" w:cs="仿宋"/>
                <w:color w:val="000000"/>
                <w:sz w:val="24"/>
                <w:szCs w:val="20"/>
              </w:rPr>
              <w:t>合同金额在300万元以上1000万元（含）以下</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sz w:val="24"/>
              </w:rPr>
            </w:pPr>
            <w:r>
              <w:rPr>
                <w:rStyle w:val="26"/>
                <w:rFonts w:hint="eastAsia" w:ascii="仿宋" w:hAnsi="仿宋" w:eastAsia="仿宋" w:cs="仿宋"/>
                <w:b w:val="0"/>
                <w:bCs/>
                <w:color w:val="000000"/>
                <w:sz w:val="24"/>
                <w:szCs w:val="20"/>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438"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r>
              <w:rPr>
                <w:rFonts w:hint="eastAsia" w:ascii="仿宋" w:hAnsi="仿宋" w:eastAsia="仿宋" w:cs="仿宋"/>
                <w:sz w:val="24"/>
              </w:rPr>
              <w:t>5</w:t>
            </w:r>
          </w:p>
        </w:tc>
        <w:tc>
          <w:tcPr>
            <w:tcW w:w="1149" w:type="pct"/>
            <w:vMerge w:val="continue"/>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sz w:val="24"/>
              </w:rPr>
            </w:pPr>
          </w:p>
        </w:tc>
        <w:tc>
          <w:tcPr>
            <w:tcW w:w="2683"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sz w:val="24"/>
              </w:rPr>
            </w:pPr>
            <w:r>
              <w:rPr>
                <w:rFonts w:hint="eastAsia" w:ascii="仿宋" w:hAnsi="仿宋" w:eastAsia="仿宋" w:cs="仿宋"/>
                <w:color w:val="000000"/>
                <w:sz w:val="24"/>
                <w:szCs w:val="20"/>
              </w:rPr>
              <w:t>合同金额在1000万元以上</w:t>
            </w:r>
          </w:p>
        </w:tc>
        <w:tc>
          <w:tcPr>
            <w:tcW w:w="727" w:type="pct"/>
            <w:vAlign w:val="center"/>
          </w:tcPr>
          <w:p>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仿宋" w:hAnsi="仿宋" w:eastAsia="仿宋" w:cs="仿宋"/>
                <w:b w:val="0"/>
                <w:bCs/>
                <w:sz w:val="24"/>
              </w:rPr>
            </w:pPr>
            <w:r>
              <w:rPr>
                <w:rStyle w:val="26"/>
                <w:rFonts w:hint="eastAsia" w:ascii="仿宋" w:hAnsi="仿宋" w:eastAsia="仿宋" w:cs="仿宋"/>
                <w:b w:val="0"/>
                <w:bCs/>
                <w:color w:val="000000"/>
                <w:sz w:val="24"/>
                <w:szCs w:val="20"/>
              </w:rPr>
              <w:t>0.18%</w:t>
            </w:r>
          </w:p>
        </w:tc>
      </w:tr>
    </w:tbl>
    <w:p>
      <w:pPr>
        <w:pStyle w:val="21"/>
        <w:spacing w:before="0" w:beforeAutospacing="0" w:after="0" w:afterAutospacing="0" w:line="440" w:lineRule="exact"/>
        <w:ind w:firstLine="480" w:firstLineChars="200"/>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1、外贸代理费由中标方或成交供应商承担并由其支付给乙方。</w:t>
      </w:r>
    </w:p>
    <w:p>
      <w:pPr>
        <w:pStyle w:val="21"/>
        <w:spacing w:before="0" w:beforeAutospacing="0" w:after="0" w:afterAutospacing="0" w:line="440" w:lineRule="exact"/>
        <w:ind w:firstLine="480" w:firstLineChars="200"/>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2、以上代理服务费为从签订三方合同到设备至甲方指定地点期间所产生的全部费用，含代办免税、批件手续以及有关进口环节发生的费用（如银行费用、报关费、仓储费、送货费等）</w:t>
      </w:r>
    </w:p>
    <w:p>
      <w:pPr>
        <w:pStyle w:val="21"/>
        <w:spacing w:before="0" w:beforeAutospacing="0" w:after="0" w:afterAutospacing="0" w:line="440" w:lineRule="exact"/>
        <w:ind w:firstLine="480" w:firstLineChars="200"/>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3、海运设备及大型超重设备的运费及装卸费用，由乙方与中标商另行商议，与甲方无关。</w:t>
      </w:r>
    </w:p>
    <w:p>
      <w:pPr>
        <w:pStyle w:val="21"/>
        <w:spacing w:before="0" w:beforeAutospacing="0" w:after="0" w:afterAutospacing="0" w:line="440" w:lineRule="exact"/>
        <w:ind w:firstLine="480" w:firstLineChars="200"/>
        <w:rPr>
          <w:rFonts w:hint="eastAsia" w:ascii="仿宋" w:hAnsi="仿宋" w:eastAsia="仿宋" w:cs="仿宋"/>
        </w:rPr>
      </w:pPr>
      <w:r>
        <w:rPr>
          <w:rFonts w:hint="eastAsia" w:ascii="仿宋" w:hAnsi="仿宋" w:eastAsia="仿宋" w:cs="仿宋"/>
          <w:lang w:val="en-US" w:eastAsia="zh-CN"/>
        </w:rPr>
        <w:t>1.</w:t>
      </w:r>
      <w:r>
        <w:rPr>
          <w:rFonts w:hint="eastAsia" w:ascii="仿宋" w:hAnsi="仿宋" w:eastAsia="仿宋" w:cs="仿宋"/>
        </w:rPr>
        <w:t>4、代理服务费不含海关根据政策不批准免税所发生的海关税费，上述费用由甲方承担。</w:t>
      </w:r>
    </w:p>
    <w:p>
      <w:pPr>
        <w:pStyle w:val="21"/>
        <w:spacing w:before="0" w:beforeAutospacing="0" w:after="0" w:afterAutospacing="0" w:line="440" w:lineRule="exact"/>
        <w:ind w:firstLine="480" w:firstLineChars="200"/>
        <w:rPr>
          <w:rFonts w:hint="eastAsia" w:ascii="仿宋" w:hAnsi="仿宋" w:eastAsia="仿宋" w:cs="仿宋"/>
          <w:color w:val="auto"/>
          <w:sz w:val="24"/>
          <w:highlight w:val="none"/>
        </w:rPr>
      </w:pPr>
      <w:r>
        <w:rPr>
          <w:rFonts w:hint="eastAsia" w:ascii="仿宋" w:hAnsi="仿宋" w:eastAsia="仿宋" w:cs="仿宋"/>
          <w:lang w:val="en-US" w:eastAsia="zh-CN"/>
        </w:rPr>
        <w:t>1.</w:t>
      </w:r>
      <w:r>
        <w:rPr>
          <w:rFonts w:hint="eastAsia" w:ascii="仿宋" w:hAnsi="仿宋" w:eastAsia="仿宋" w:cs="仿宋"/>
        </w:rPr>
        <w:t>5、其他特殊情况产生的费用，由甲方同外贸代理服务商双方协商决定。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Cs w:val="24"/>
          <w:highlight w:val="none"/>
          <w:lang w:val="en-US" w:eastAsia="zh-CN"/>
        </w:rPr>
      </w:pPr>
      <w:r>
        <w:rPr>
          <w:rFonts w:hint="eastAsia" w:ascii="仿宋" w:hAnsi="仿宋" w:eastAsia="仿宋" w:cs="仿宋"/>
          <w:color w:val="auto"/>
          <w:sz w:val="24"/>
          <w:highlight w:val="none"/>
          <w:lang w:val="en-US" w:eastAsia="zh-CN"/>
        </w:rPr>
        <w:t>1</w:t>
      </w:r>
      <w:r>
        <w:rPr>
          <w:rFonts w:hint="eastAsia" w:ascii="仿宋" w:hAnsi="仿宋" w:cs="仿宋"/>
          <w:color w:val="auto"/>
          <w:sz w:val="24"/>
          <w:highlight w:val="none"/>
          <w:lang w:val="en-US" w:eastAsia="zh-CN"/>
        </w:rPr>
        <w:t>4</w:t>
      </w:r>
      <w:r>
        <w:rPr>
          <w:rFonts w:hint="eastAsia" w:ascii="仿宋" w:hAnsi="仿宋" w:eastAsia="仿宋" w:cs="仿宋"/>
          <w:color w:val="auto"/>
          <w:sz w:val="24"/>
          <w:highlight w:val="none"/>
        </w:rPr>
        <w:t>、若有其他优惠请自报。</w:t>
      </w:r>
    </w:p>
    <w:sectPr>
      <w:pgSz w:w="11906" w:h="16838"/>
      <w:pgMar w:top="1134" w:right="992" w:bottom="1440" w:left="1276" w:header="851" w:footer="992" w:gutter="0"/>
      <w:cols w:space="0" w:num="1"/>
      <w:rtlGutter w:val="0"/>
      <w:docGrid w:type="lines"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8771765"/>
    </w:sdtPr>
    <w:sdtContent>
      <w:p>
        <w:pPr>
          <w:pStyle w:val="16"/>
          <w:ind w:firstLine="360"/>
          <w:jc w:val="center"/>
        </w:pPr>
        <w:r>
          <w:fldChar w:fldCharType="begin"/>
        </w:r>
        <w:r>
          <w:instrText xml:space="preserve">PAGE   \* MERGEFORMAT</w:instrText>
        </w:r>
        <w:r>
          <w:fldChar w:fldCharType="separate"/>
        </w:r>
        <w:r>
          <w:rPr>
            <w:lang w:val="zh-CN"/>
          </w:rPr>
          <w:t>64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965EEB"/>
    <w:multiLevelType w:val="singleLevel"/>
    <w:tmpl w:val="CE965EE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HorizontalSpacing w:val="120"/>
  <w:drawingGridVerticalSpacing w:val="166"/>
  <w:displayHorizontalDrawingGridEvery w:val="1"/>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12535"/>
    <w:rsid w:val="00017E7F"/>
    <w:rsid w:val="00020E16"/>
    <w:rsid w:val="000245AA"/>
    <w:rsid w:val="000267F3"/>
    <w:rsid w:val="00032E74"/>
    <w:rsid w:val="00036B9A"/>
    <w:rsid w:val="00037FCC"/>
    <w:rsid w:val="00046FA1"/>
    <w:rsid w:val="0004785D"/>
    <w:rsid w:val="00063ED9"/>
    <w:rsid w:val="00072328"/>
    <w:rsid w:val="00076288"/>
    <w:rsid w:val="00080E1F"/>
    <w:rsid w:val="00081E16"/>
    <w:rsid w:val="000853E9"/>
    <w:rsid w:val="000877FF"/>
    <w:rsid w:val="00091CF3"/>
    <w:rsid w:val="00095F27"/>
    <w:rsid w:val="00096C29"/>
    <w:rsid w:val="000977B5"/>
    <w:rsid w:val="000A3919"/>
    <w:rsid w:val="000A7AC6"/>
    <w:rsid w:val="000B3F54"/>
    <w:rsid w:val="000B757C"/>
    <w:rsid w:val="000C2469"/>
    <w:rsid w:val="000D14E9"/>
    <w:rsid w:val="000D6789"/>
    <w:rsid w:val="000D760E"/>
    <w:rsid w:val="000E35A5"/>
    <w:rsid w:val="000F2938"/>
    <w:rsid w:val="000F753C"/>
    <w:rsid w:val="00121958"/>
    <w:rsid w:val="001231FB"/>
    <w:rsid w:val="0012414B"/>
    <w:rsid w:val="001248B4"/>
    <w:rsid w:val="001253C8"/>
    <w:rsid w:val="00125993"/>
    <w:rsid w:val="001261D7"/>
    <w:rsid w:val="00131854"/>
    <w:rsid w:val="00132464"/>
    <w:rsid w:val="00137102"/>
    <w:rsid w:val="00140D15"/>
    <w:rsid w:val="00144AC9"/>
    <w:rsid w:val="00147B87"/>
    <w:rsid w:val="00155D9C"/>
    <w:rsid w:val="00180904"/>
    <w:rsid w:val="00182E78"/>
    <w:rsid w:val="00192B26"/>
    <w:rsid w:val="00192DD4"/>
    <w:rsid w:val="001A4634"/>
    <w:rsid w:val="001B12FC"/>
    <w:rsid w:val="001B210F"/>
    <w:rsid w:val="001B37F2"/>
    <w:rsid w:val="001C541D"/>
    <w:rsid w:val="001C5DF1"/>
    <w:rsid w:val="001D7F8A"/>
    <w:rsid w:val="001E0B52"/>
    <w:rsid w:val="001E2C67"/>
    <w:rsid w:val="001E4922"/>
    <w:rsid w:val="001F3C51"/>
    <w:rsid w:val="001F5F7B"/>
    <w:rsid w:val="00202D3B"/>
    <w:rsid w:val="00205FFB"/>
    <w:rsid w:val="00212212"/>
    <w:rsid w:val="00213667"/>
    <w:rsid w:val="00214F8C"/>
    <w:rsid w:val="00216B8A"/>
    <w:rsid w:val="00235686"/>
    <w:rsid w:val="00240CD2"/>
    <w:rsid w:val="002520D8"/>
    <w:rsid w:val="002577AF"/>
    <w:rsid w:val="00267B70"/>
    <w:rsid w:val="002719D5"/>
    <w:rsid w:val="00272134"/>
    <w:rsid w:val="002723D7"/>
    <w:rsid w:val="00280EB8"/>
    <w:rsid w:val="00285DCE"/>
    <w:rsid w:val="002903F8"/>
    <w:rsid w:val="00294EDB"/>
    <w:rsid w:val="00295305"/>
    <w:rsid w:val="0029620A"/>
    <w:rsid w:val="00296437"/>
    <w:rsid w:val="002B2BD5"/>
    <w:rsid w:val="002B38C4"/>
    <w:rsid w:val="002B47A9"/>
    <w:rsid w:val="002B50F1"/>
    <w:rsid w:val="002B622A"/>
    <w:rsid w:val="002B7712"/>
    <w:rsid w:val="002C3279"/>
    <w:rsid w:val="002C5738"/>
    <w:rsid w:val="002D1A57"/>
    <w:rsid w:val="002D3DC7"/>
    <w:rsid w:val="002D402F"/>
    <w:rsid w:val="002D413B"/>
    <w:rsid w:val="002D771D"/>
    <w:rsid w:val="002E5150"/>
    <w:rsid w:val="002E6191"/>
    <w:rsid w:val="002E7C22"/>
    <w:rsid w:val="002F1618"/>
    <w:rsid w:val="002F680F"/>
    <w:rsid w:val="00304F7E"/>
    <w:rsid w:val="00305B62"/>
    <w:rsid w:val="00307256"/>
    <w:rsid w:val="003143E3"/>
    <w:rsid w:val="00327008"/>
    <w:rsid w:val="00331100"/>
    <w:rsid w:val="00335D58"/>
    <w:rsid w:val="0034078E"/>
    <w:rsid w:val="00342AD9"/>
    <w:rsid w:val="00347AFF"/>
    <w:rsid w:val="003511E5"/>
    <w:rsid w:val="00356CD5"/>
    <w:rsid w:val="00360E74"/>
    <w:rsid w:val="00363620"/>
    <w:rsid w:val="00365D32"/>
    <w:rsid w:val="003660C0"/>
    <w:rsid w:val="00367012"/>
    <w:rsid w:val="00372A22"/>
    <w:rsid w:val="00372C97"/>
    <w:rsid w:val="00376D4A"/>
    <w:rsid w:val="003838CF"/>
    <w:rsid w:val="00386D3C"/>
    <w:rsid w:val="00391CF0"/>
    <w:rsid w:val="0039766D"/>
    <w:rsid w:val="00397F8D"/>
    <w:rsid w:val="003A270B"/>
    <w:rsid w:val="003A2DDD"/>
    <w:rsid w:val="003A48EA"/>
    <w:rsid w:val="003A625C"/>
    <w:rsid w:val="003A77B1"/>
    <w:rsid w:val="003B1B97"/>
    <w:rsid w:val="003B467C"/>
    <w:rsid w:val="003B6647"/>
    <w:rsid w:val="003B782B"/>
    <w:rsid w:val="003C3ABC"/>
    <w:rsid w:val="003C4477"/>
    <w:rsid w:val="003D64E5"/>
    <w:rsid w:val="003F4B1B"/>
    <w:rsid w:val="004042FD"/>
    <w:rsid w:val="00404A26"/>
    <w:rsid w:val="00412A89"/>
    <w:rsid w:val="00412CED"/>
    <w:rsid w:val="004142DF"/>
    <w:rsid w:val="00423DA6"/>
    <w:rsid w:val="004254F1"/>
    <w:rsid w:val="00426682"/>
    <w:rsid w:val="004346C6"/>
    <w:rsid w:val="00436F6D"/>
    <w:rsid w:val="00437947"/>
    <w:rsid w:val="00442458"/>
    <w:rsid w:val="00443AA7"/>
    <w:rsid w:val="00445053"/>
    <w:rsid w:val="0045410C"/>
    <w:rsid w:val="00457D20"/>
    <w:rsid w:val="00465743"/>
    <w:rsid w:val="00465934"/>
    <w:rsid w:val="00467B06"/>
    <w:rsid w:val="0047143C"/>
    <w:rsid w:val="00476411"/>
    <w:rsid w:val="00482698"/>
    <w:rsid w:val="00483C1F"/>
    <w:rsid w:val="0048470C"/>
    <w:rsid w:val="00487E8C"/>
    <w:rsid w:val="0049118A"/>
    <w:rsid w:val="004B59A2"/>
    <w:rsid w:val="004C07F1"/>
    <w:rsid w:val="004C6DD8"/>
    <w:rsid w:val="004D0F40"/>
    <w:rsid w:val="004D3543"/>
    <w:rsid w:val="004D5995"/>
    <w:rsid w:val="004E2621"/>
    <w:rsid w:val="004E59E2"/>
    <w:rsid w:val="004E77A3"/>
    <w:rsid w:val="004E792D"/>
    <w:rsid w:val="004F7009"/>
    <w:rsid w:val="005123A6"/>
    <w:rsid w:val="0051304E"/>
    <w:rsid w:val="00513772"/>
    <w:rsid w:val="005220AC"/>
    <w:rsid w:val="00523681"/>
    <w:rsid w:val="00537382"/>
    <w:rsid w:val="00546617"/>
    <w:rsid w:val="005539AB"/>
    <w:rsid w:val="0055634E"/>
    <w:rsid w:val="0055648B"/>
    <w:rsid w:val="00562F31"/>
    <w:rsid w:val="00562F56"/>
    <w:rsid w:val="00567DD6"/>
    <w:rsid w:val="00570EEA"/>
    <w:rsid w:val="005731F2"/>
    <w:rsid w:val="0057345D"/>
    <w:rsid w:val="0057470C"/>
    <w:rsid w:val="0058054C"/>
    <w:rsid w:val="005811EB"/>
    <w:rsid w:val="00586304"/>
    <w:rsid w:val="005929B5"/>
    <w:rsid w:val="005937CA"/>
    <w:rsid w:val="005B1204"/>
    <w:rsid w:val="005B463F"/>
    <w:rsid w:val="005B542C"/>
    <w:rsid w:val="005B5441"/>
    <w:rsid w:val="005B5492"/>
    <w:rsid w:val="005B6BF0"/>
    <w:rsid w:val="005C6DBD"/>
    <w:rsid w:val="005C7001"/>
    <w:rsid w:val="005E299C"/>
    <w:rsid w:val="005E3279"/>
    <w:rsid w:val="005E68E2"/>
    <w:rsid w:val="005F49C1"/>
    <w:rsid w:val="0060188C"/>
    <w:rsid w:val="00604E8C"/>
    <w:rsid w:val="00611359"/>
    <w:rsid w:val="00636AF3"/>
    <w:rsid w:val="00641FE1"/>
    <w:rsid w:val="006456AE"/>
    <w:rsid w:val="00670555"/>
    <w:rsid w:val="00683172"/>
    <w:rsid w:val="006836A6"/>
    <w:rsid w:val="006876C6"/>
    <w:rsid w:val="00692A6F"/>
    <w:rsid w:val="006A43FD"/>
    <w:rsid w:val="006A5FAC"/>
    <w:rsid w:val="006B5446"/>
    <w:rsid w:val="006B6802"/>
    <w:rsid w:val="006C47E1"/>
    <w:rsid w:val="006D26DD"/>
    <w:rsid w:val="006D65FE"/>
    <w:rsid w:val="006D6C17"/>
    <w:rsid w:val="006E4184"/>
    <w:rsid w:val="006E6417"/>
    <w:rsid w:val="006E6A12"/>
    <w:rsid w:val="006F7058"/>
    <w:rsid w:val="00711F6E"/>
    <w:rsid w:val="00716718"/>
    <w:rsid w:val="0072335A"/>
    <w:rsid w:val="00732F11"/>
    <w:rsid w:val="0073641A"/>
    <w:rsid w:val="00744730"/>
    <w:rsid w:val="00753928"/>
    <w:rsid w:val="007559B0"/>
    <w:rsid w:val="00757BFE"/>
    <w:rsid w:val="00760A57"/>
    <w:rsid w:val="00761333"/>
    <w:rsid w:val="007615F2"/>
    <w:rsid w:val="00761E9C"/>
    <w:rsid w:val="007667B3"/>
    <w:rsid w:val="0077480E"/>
    <w:rsid w:val="007758B5"/>
    <w:rsid w:val="00777199"/>
    <w:rsid w:val="00785B46"/>
    <w:rsid w:val="0079254B"/>
    <w:rsid w:val="0079276E"/>
    <w:rsid w:val="00794824"/>
    <w:rsid w:val="007A2521"/>
    <w:rsid w:val="007A34B4"/>
    <w:rsid w:val="007A5423"/>
    <w:rsid w:val="007B42C0"/>
    <w:rsid w:val="007B7D37"/>
    <w:rsid w:val="007B7E68"/>
    <w:rsid w:val="007C0362"/>
    <w:rsid w:val="007C396B"/>
    <w:rsid w:val="007C7613"/>
    <w:rsid w:val="007D476A"/>
    <w:rsid w:val="007E748E"/>
    <w:rsid w:val="007F0B09"/>
    <w:rsid w:val="007F139C"/>
    <w:rsid w:val="007F29A3"/>
    <w:rsid w:val="007F7428"/>
    <w:rsid w:val="007F7F42"/>
    <w:rsid w:val="008026BC"/>
    <w:rsid w:val="008126F3"/>
    <w:rsid w:val="008140A7"/>
    <w:rsid w:val="008152B3"/>
    <w:rsid w:val="00822641"/>
    <w:rsid w:val="008252CB"/>
    <w:rsid w:val="008254D5"/>
    <w:rsid w:val="00826B29"/>
    <w:rsid w:val="008305BC"/>
    <w:rsid w:val="00831CB1"/>
    <w:rsid w:val="0083240E"/>
    <w:rsid w:val="008329CC"/>
    <w:rsid w:val="00834FA7"/>
    <w:rsid w:val="00835F6D"/>
    <w:rsid w:val="008415B5"/>
    <w:rsid w:val="00843C41"/>
    <w:rsid w:val="00857FA5"/>
    <w:rsid w:val="008627A7"/>
    <w:rsid w:val="00863566"/>
    <w:rsid w:val="008777E4"/>
    <w:rsid w:val="008A5DAB"/>
    <w:rsid w:val="008C0CF3"/>
    <w:rsid w:val="008C6DBD"/>
    <w:rsid w:val="008D1374"/>
    <w:rsid w:val="008D2206"/>
    <w:rsid w:val="008D7BDF"/>
    <w:rsid w:val="008E07AD"/>
    <w:rsid w:val="008E43C5"/>
    <w:rsid w:val="008E46E3"/>
    <w:rsid w:val="008E634B"/>
    <w:rsid w:val="008F036A"/>
    <w:rsid w:val="008F4334"/>
    <w:rsid w:val="008F6584"/>
    <w:rsid w:val="00905AE0"/>
    <w:rsid w:val="00912DDF"/>
    <w:rsid w:val="00915FF9"/>
    <w:rsid w:val="00916E84"/>
    <w:rsid w:val="0093140D"/>
    <w:rsid w:val="009354EC"/>
    <w:rsid w:val="00935BE8"/>
    <w:rsid w:val="00936F79"/>
    <w:rsid w:val="009374F1"/>
    <w:rsid w:val="00942312"/>
    <w:rsid w:val="00944F55"/>
    <w:rsid w:val="00945607"/>
    <w:rsid w:val="00947B43"/>
    <w:rsid w:val="0095173E"/>
    <w:rsid w:val="009533A9"/>
    <w:rsid w:val="0096040F"/>
    <w:rsid w:val="0096710A"/>
    <w:rsid w:val="00975C52"/>
    <w:rsid w:val="0097691C"/>
    <w:rsid w:val="00976A95"/>
    <w:rsid w:val="00976CEC"/>
    <w:rsid w:val="00976D30"/>
    <w:rsid w:val="00976D39"/>
    <w:rsid w:val="00980462"/>
    <w:rsid w:val="00980B97"/>
    <w:rsid w:val="00990099"/>
    <w:rsid w:val="009914D9"/>
    <w:rsid w:val="009957AA"/>
    <w:rsid w:val="00996596"/>
    <w:rsid w:val="009975AF"/>
    <w:rsid w:val="00997A12"/>
    <w:rsid w:val="009A7B89"/>
    <w:rsid w:val="009B3408"/>
    <w:rsid w:val="009B4120"/>
    <w:rsid w:val="009B49A6"/>
    <w:rsid w:val="009B6B60"/>
    <w:rsid w:val="009E15B8"/>
    <w:rsid w:val="009E6E7D"/>
    <w:rsid w:val="009F0A6C"/>
    <w:rsid w:val="009F5D93"/>
    <w:rsid w:val="009F78E5"/>
    <w:rsid w:val="00A07EFD"/>
    <w:rsid w:val="00A16D08"/>
    <w:rsid w:val="00A175B9"/>
    <w:rsid w:val="00A21B45"/>
    <w:rsid w:val="00A21BCE"/>
    <w:rsid w:val="00A30B51"/>
    <w:rsid w:val="00A4642C"/>
    <w:rsid w:val="00A51562"/>
    <w:rsid w:val="00A52668"/>
    <w:rsid w:val="00A54760"/>
    <w:rsid w:val="00A57C87"/>
    <w:rsid w:val="00A6380F"/>
    <w:rsid w:val="00A67E51"/>
    <w:rsid w:val="00A73403"/>
    <w:rsid w:val="00A7570E"/>
    <w:rsid w:val="00A82920"/>
    <w:rsid w:val="00A82C39"/>
    <w:rsid w:val="00A857A9"/>
    <w:rsid w:val="00A97F57"/>
    <w:rsid w:val="00AA2A8E"/>
    <w:rsid w:val="00AB544F"/>
    <w:rsid w:val="00AC5793"/>
    <w:rsid w:val="00AC5D0E"/>
    <w:rsid w:val="00AD624B"/>
    <w:rsid w:val="00AD757E"/>
    <w:rsid w:val="00AE40F1"/>
    <w:rsid w:val="00AE755B"/>
    <w:rsid w:val="00B027D7"/>
    <w:rsid w:val="00B0730F"/>
    <w:rsid w:val="00B1493B"/>
    <w:rsid w:val="00B24B2E"/>
    <w:rsid w:val="00B2717C"/>
    <w:rsid w:val="00B27D66"/>
    <w:rsid w:val="00B320C5"/>
    <w:rsid w:val="00B37DF8"/>
    <w:rsid w:val="00B41B0D"/>
    <w:rsid w:val="00B565C5"/>
    <w:rsid w:val="00B61879"/>
    <w:rsid w:val="00B768BF"/>
    <w:rsid w:val="00B834AC"/>
    <w:rsid w:val="00B86EAC"/>
    <w:rsid w:val="00B87508"/>
    <w:rsid w:val="00B90C04"/>
    <w:rsid w:val="00B91946"/>
    <w:rsid w:val="00B93F91"/>
    <w:rsid w:val="00B952C8"/>
    <w:rsid w:val="00BA5948"/>
    <w:rsid w:val="00BA5E9E"/>
    <w:rsid w:val="00BA5EF5"/>
    <w:rsid w:val="00BB13DF"/>
    <w:rsid w:val="00BB1B01"/>
    <w:rsid w:val="00BB3D32"/>
    <w:rsid w:val="00BC269B"/>
    <w:rsid w:val="00BD1A68"/>
    <w:rsid w:val="00BD2A1A"/>
    <w:rsid w:val="00BD2D86"/>
    <w:rsid w:val="00BD6B20"/>
    <w:rsid w:val="00BF01F0"/>
    <w:rsid w:val="00BF380C"/>
    <w:rsid w:val="00BF6278"/>
    <w:rsid w:val="00BF6715"/>
    <w:rsid w:val="00C003D8"/>
    <w:rsid w:val="00C06590"/>
    <w:rsid w:val="00C138FD"/>
    <w:rsid w:val="00C31D0D"/>
    <w:rsid w:val="00C33707"/>
    <w:rsid w:val="00C3561F"/>
    <w:rsid w:val="00C42C19"/>
    <w:rsid w:val="00C45067"/>
    <w:rsid w:val="00C455FE"/>
    <w:rsid w:val="00C556C0"/>
    <w:rsid w:val="00C642A6"/>
    <w:rsid w:val="00C73B31"/>
    <w:rsid w:val="00C758D6"/>
    <w:rsid w:val="00C80D9D"/>
    <w:rsid w:val="00C82542"/>
    <w:rsid w:val="00C82FFB"/>
    <w:rsid w:val="00C93F93"/>
    <w:rsid w:val="00C941C8"/>
    <w:rsid w:val="00C94E0E"/>
    <w:rsid w:val="00C96942"/>
    <w:rsid w:val="00CA0B8F"/>
    <w:rsid w:val="00CA12E4"/>
    <w:rsid w:val="00CA225E"/>
    <w:rsid w:val="00CB1FEF"/>
    <w:rsid w:val="00CB2D3F"/>
    <w:rsid w:val="00CB4B61"/>
    <w:rsid w:val="00CB6886"/>
    <w:rsid w:val="00CC05AA"/>
    <w:rsid w:val="00CC0EEF"/>
    <w:rsid w:val="00CC404D"/>
    <w:rsid w:val="00CC40A2"/>
    <w:rsid w:val="00CC62EB"/>
    <w:rsid w:val="00CC6841"/>
    <w:rsid w:val="00CD5099"/>
    <w:rsid w:val="00CE1272"/>
    <w:rsid w:val="00CE2F47"/>
    <w:rsid w:val="00D04FA3"/>
    <w:rsid w:val="00D05010"/>
    <w:rsid w:val="00D07DF7"/>
    <w:rsid w:val="00D1131F"/>
    <w:rsid w:val="00D1422B"/>
    <w:rsid w:val="00D2625A"/>
    <w:rsid w:val="00D32A99"/>
    <w:rsid w:val="00D3725A"/>
    <w:rsid w:val="00D408B5"/>
    <w:rsid w:val="00D41D85"/>
    <w:rsid w:val="00D72B62"/>
    <w:rsid w:val="00D75F84"/>
    <w:rsid w:val="00D83BB0"/>
    <w:rsid w:val="00D912E2"/>
    <w:rsid w:val="00D938EA"/>
    <w:rsid w:val="00D945D6"/>
    <w:rsid w:val="00DB3141"/>
    <w:rsid w:val="00DC1D11"/>
    <w:rsid w:val="00DC4898"/>
    <w:rsid w:val="00DD5C22"/>
    <w:rsid w:val="00DD78F9"/>
    <w:rsid w:val="00DE7260"/>
    <w:rsid w:val="00DF1A7F"/>
    <w:rsid w:val="00E00529"/>
    <w:rsid w:val="00E10313"/>
    <w:rsid w:val="00E21648"/>
    <w:rsid w:val="00E33747"/>
    <w:rsid w:val="00E4178F"/>
    <w:rsid w:val="00E420FB"/>
    <w:rsid w:val="00E55C87"/>
    <w:rsid w:val="00E623DE"/>
    <w:rsid w:val="00E74D2B"/>
    <w:rsid w:val="00E92CED"/>
    <w:rsid w:val="00E956D6"/>
    <w:rsid w:val="00E96948"/>
    <w:rsid w:val="00E97ED7"/>
    <w:rsid w:val="00EA1CDC"/>
    <w:rsid w:val="00EA421B"/>
    <w:rsid w:val="00EA467B"/>
    <w:rsid w:val="00EA78BF"/>
    <w:rsid w:val="00EC585D"/>
    <w:rsid w:val="00ED0B35"/>
    <w:rsid w:val="00ED6C74"/>
    <w:rsid w:val="00EE327B"/>
    <w:rsid w:val="00EE4C0C"/>
    <w:rsid w:val="00EE5836"/>
    <w:rsid w:val="00EF129C"/>
    <w:rsid w:val="00F059A5"/>
    <w:rsid w:val="00F16EF1"/>
    <w:rsid w:val="00F17116"/>
    <w:rsid w:val="00F23F5D"/>
    <w:rsid w:val="00F26266"/>
    <w:rsid w:val="00F3230C"/>
    <w:rsid w:val="00F41B1E"/>
    <w:rsid w:val="00F42420"/>
    <w:rsid w:val="00F42DF3"/>
    <w:rsid w:val="00F51B3C"/>
    <w:rsid w:val="00F55B97"/>
    <w:rsid w:val="00F65A8A"/>
    <w:rsid w:val="00F70726"/>
    <w:rsid w:val="00F76680"/>
    <w:rsid w:val="00F8416D"/>
    <w:rsid w:val="00F84258"/>
    <w:rsid w:val="00F8683C"/>
    <w:rsid w:val="00F90B76"/>
    <w:rsid w:val="00F920BF"/>
    <w:rsid w:val="00F96C8E"/>
    <w:rsid w:val="00FA465A"/>
    <w:rsid w:val="00FA5A77"/>
    <w:rsid w:val="00FA608F"/>
    <w:rsid w:val="00FB3AE0"/>
    <w:rsid w:val="00FB6B90"/>
    <w:rsid w:val="00FC4C7E"/>
    <w:rsid w:val="00FC651D"/>
    <w:rsid w:val="00FD3791"/>
    <w:rsid w:val="00FE4657"/>
    <w:rsid w:val="00FE4DD0"/>
    <w:rsid w:val="00FF1F5A"/>
    <w:rsid w:val="02576FB2"/>
    <w:rsid w:val="03877628"/>
    <w:rsid w:val="04D4670C"/>
    <w:rsid w:val="055359A5"/>
    <w:rsid w:val="0562071E"/>
    <w:rsid w:val="059F550F"/>
    <w:rsid w:val="067F5B8E"/>
    <w:rsid w:val="0945226B"/>
    <w:rsid w:val="0BF447CA"/>
    <w:rsid w:val="0D9E6B6D"/>
    <w:rsid w:val="0E7140D2"/>
    <w:rsid w:val="110F5F23"/>
    <w:rsid w:val="119B16ED"/>
    <w:rsid w:val="11DE0500"/>
    <w:rsid w:val="12A367ED"/>
    <w:rsid w:val="154E20EE"/>
    <w:rsid w:val="159B2240"/>
    <w:rsid w:val="1AAE34C5"/>
    <w:rsid w:val="1AF71A23"/>
    <w:rsid w:val="1B921814"/>
    <w:rsid w:val="1B9A2A3D"/>
    <w:rsid w:val="1BDC38CD"/>
    <w:rsid w:val="1D1F5313"/>
    <w:rsid w:val="1D2B3667"/>
    <w:rsid w:val="23547885"/>
    <w:rsid w:val="260F6A7F"/>
    <w:rsid w:val="29420625"/>
    <w:rsid w:val="2B793244"/>
    <w:rsid w:val="2BD01A9C"/>
    <w:rsid w:val="2BD650E5"/>
    <w:rsid w:val="2CD9399D"/>
    <w:rsid w:val="2DFB6BFF"/>
    <w:rsid w:val="2FDB2CCA"/>
    <w:rsid w:val="30127023"/>
    <w:rsid w:val="33751F41"/>
    <w:rsid w:val="367100EE"/>
    <w:rsid w:val="371A5E68"/>
    <w:rsid w:val="380C3E1A"/>
    <w:rsid w:val="384017AB"/>
    <w:rsid w:val="390F5ADC"/>
    <w:rsid w:val="39B746CA"/>
    <w:rsid w:val="3AAA02EE"/>
    <w:rsid w:val="3CD04444"/>
    <w:rsid w:val="3D531176"/>
    <w:rsid w:val="3D860DFB"/>
    <w:rsid w:val="40B70431"/>
    <w:rsid w:val="46040D75"/>
    <w:rsid w:val="47FD48DB"/>
    <w:rsid w:val="49724248"/>
    <w:rsid w:val="4AAE5CE4"/>
    <w:rsid w:val="4C803E8D"/>
    <w:rsid w:val="4D5918DA"/>
    <w:rsid w:val="4D9A32B2"/>
    <w:rsid w:val="4DDF4972"/>
    <w:rsid w:val="4F373AFF"/>
    <w:rsid w:val="4F8E4934"/>
    <w:rsid w:val="533B50C3"/>
    <w:rsid w:val="54C849A4"/>
    <w:rsid w:val="54EA2115"/>
    <w:rsid w:val="556F5ADF"/>
    <w:rsid w:val="571D0F49"/>
    <w:rsid w:val="57C01E34"/>
    <w:rsid w:val="598E00B2"/>
    <w:rsid w:val="59EF71EF"/>
    <w:rsid w:val="5B037419"/>
    <w:rsid w:val="619F5A9B"/>
    <w:rsid w:val="631D6B7A"/>
    <w:rsid w:val="63C611BD"/>
    <w:rsid w:val="65D7099C"/>
    <w:rsid w:val="6B0A211F"/>
    <w:rsid w:val="6E9F7CD4"/>
    <w:rsid w:val="70DC1201"/>
    <w:rsid w:val="785C076E"/>
    <w:rsid w:val="78A92B1B"/>
    <w:rsid w:val="792A74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3">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4"/>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4"/>
    <w:basedOn w:val="1"/>
    <w:next w:val="1"/>
    <w:link w:val="32"/>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pPr>
  </w:style>
  <w:style w:type="paragraph" w:styleId="6">
    <w:name w:val="List 3"/>
    <w:basedOn w:val="1"/>
    <w:qFormat/>
    <w:uiPriority w:val="0"/>
    <w:pPr>
      <w:ind w:left="100" w:leftChars="400" w:hanging="200" w:hangingChars="200"/>
    </w:pPr>
  </w:style>
  <w:style w:type="paragraph" w:styleId="7">
    <w:name w:val="caption"/>
    <w:basedOn w:val="1"/>
    <w:next w:val="1"/>
    <w:qFormat/>
    <w:uiPriority w:val="0"/>
    <w:pPr>
      <w:spacing w:before="152" w:after="160"/>
    </w:pPr>
    <w:rPr>
      <w:rFonts w:ascii="Arial" w:hAnsi="Arial" w:eastAsia="黑体" w:cs="Arial"/>
      <w:sz w:val="20"/>
    </w:rPr>
  </w:style>
  <w:style w:type="paragraph" w:styleId="8">
    <w:name w:val="annotation text"/>
    <w:basedOn w:val="1"/>
    <w:link w:val="43"/>
    <w:qFormat/>
    <w:uiPriority w:val="99"/>
    <w:pPr>
      <w:spacing w:line="240" w:lineRule="auto"/>
      <w:ind w:firstLine="0" w:firstLineChars="0"/>
    </w:pPr>
    <w:rPr>
      <w:rFonts w:ascii="Times New Roman" w:hAnsi="Times New Roman" w:eastAsiaTheme="minorEastAsia" w:cstheme="minorBidi"/>
      <w:sz w:val="21"/>
      <w:szCs w:val="24"/>
    </w:rPr>
  </w:style>
  <w:style w:type="paragraph" w:styleId="9">
    <w:name w:val="Body Text 3"/>
    <w:basedOn w:val="1"/>
    <w:link w:val="37"/>
    <w:semiHidden/>
    <w:unhideWhenUsed/>
    <w:qFormat/>
    <w:uiPriority w:val="99"/>
    <w:pPr>
      <w:spacing w:after="120"/>
    </w:pPr>
    <w:rPr>
      <w:sz w:val="16"/>
      <w:szCs w:val="16"/>
    </w:rPr>
  </w:style>
  <w:style w:type="paragraph" w:styleId="10">
    <w:name w:val="Body Text"/>
    <w:basedOn w:val="1"/>
    <w:qFormat/>
    <w:uiPriority w:val="0"/>
    <w:pPr>
      <w:spacing w:after="120"/>
    </w:pPr>
  </w:style>
  <w:style w:type="paragraph" w:styleId="11">
    <w:name w:val="Body Text Indent"/>
    <w:basedOn w:val="1"/>
    <w:next w:val="1"/>
    <w:link w:val="30"/>
    <w:unhideWhenUsed/>
    <w:qFormat/>
    <w:uiPriority w:val="99"/>
    <w:pPr>
      <w:spacing w:after="120"/>
      <w:ind w:left="420" w:leftChars="200"/>
    </w:pPr>
    <w:rPr>
      <w:rFonts w:ascii="Times New Roman" w:hAnsi="Times New Roman" w:eastAsiaTheme="minorEastAsia" w:cstheme="minorBidi"/>
      <w:sz w:val="21"/>
      <w:szCs w:val="22"/>
    </w:rPr>
  </w:style>
  <w:style w:type="paragraph" w:styleId="12">
    <w:name w:val="List 2"/>
    <w:basedOn w:val="1"/>
    <w:qFormat/>
    <w:uiPriority w:val="0"/>
    <w:pPr>
      <w:spacing w:line="240" w:lineRule="auto"/>
      <w:ind w:left="100" w:leftChars="200" w:hanging="200" w:hangingChars="200"/>
      <w:jc w:val="both"/>
    </w:pPr>
    <w:rPr>
      <w:rFonts w:ascii="Times New Roman" w:hAnsi="Times New Roman" w:eastAsia="宋体"/>
      <w:sz w:val="21"/>
    </w:rPr>
  </w:style>
  <w:style w:type="paragraph" w:styleId="13">
    <w:name w:val="Plain Text"/>
    <w:basedOn w:val="1"/>
    <w:link w:val="38"/>
    <w:qFormat/>
    <w:uiPriority w:val="0"/>
    <w:rPr>
      <w:rFonts w:ascii="宋体" w:hAnsi="Courier New" w:eastAsia="宋体"/>
      <w:sz w:val="21"/>
    </w:rPr>
  </w:style>
  <w:style w:type="paragraph" w:styleId="14">
    <w:name w:val="Body Text Indent 2"/>
    <w:basedOn w:val="1"/>
    <w:qFormat/>
    <w:uiPriority w:val="0"/>
    <w:pPr>
      <w:spacing w:line="500" w:lineRule="exact"/>
      <w:ind w:firstLine="442"/>
    </w:pPr>
  </w:style>
  <w:style w:type="paragraph" w:styleId="15">
    <w:name w:val="Balloon Text"/>
    <w:basedOn w:val="1"/>
    <w:link w:val="42"/>
    <w:semiHidden/>
    <w:unhideWhenUsed/>
    <w:qFormat/>
    <w:uiPriority w:val="99"/>
    <w:pPr>
      <w:spacing w:line="240" w:lineRule="auto"/>
    </w:pPr>
    <w:rPr>
      <w:sz w:val="18"/>
      <w:szCs w:val="18"/>
    </w:rPr>
  </w:style>
  <w:style w:type="paragraph" w:styleId="16">
    <w:name w:val="footer"/>
    <w:basedOn w:val="1"/>
    <w:link w:val="29"/>
    <w:unhideWhenUsed/>
    <w:qFormat/>
    <w:uiPriority w:val="99"/>
    <w:pPr>
      <w:tabs>
        <w:tab w:val="center" w:pos="4153"/>
        <w:tab w:val="right" w:pos="8306"/>
      </w:tabs>
      <w:snapToGrid w:val="0"/>
    </w:pPr>
    <w:rPr>
      <w:sz w:val="18"/>
      <w:szCs w:val="18"/>
    </w:rPr>
  </w:style>
  <w:style w:type="paragraph" w:styleId="17">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rPr>
      <w:rFonts w:ascii="Times New Roman" w:hAnsi="Times New Roman"/>
    </w:rPr>
  </w:style>
  <w:style w:type="paragraph" w:styleId="19">
    <w:name w:val="List 5"/>
    <w:basedOn w:val="1"/>
    <w:unhideWhenUsed/>
    <w:qFormat/>
    <w:uiPriority w:val="99"/>
    <w:pPr>
      <w:spacing w:line="240" w:lineRule="auto"/>
      <w:ind w:left="100" w:leftChars="800" w:hanging="200" w:hangingChars="200"/>
      <w:contextualSpacing/>
      <w:jc w:val="both"/>
    </w:pPr>
    <w:rPr>
      <w:rFonts w:eastAsia="宋体"/>
      <w:sz w:val="21"/>
      <w:szCs w:val="22"/>
    </w:rPr>
  </w:style>
  <w:style w:type="paragraph" w:styleId="20">
    <w:name w:val="toc 2"/>
    <w:basedOn w:val="1"/>
    <w:next w:val="1"/>
    <w:unhideWhenUsed/>
    <w:qFormat/>
    <w:uiPriority w:val="39"/>
    <w:pPr>
      <w:ind w:left="200" w:leftChars="200"/>
    </w:pPr>
    <w:rPr>
      <w:rFonts w:ascii="Times New Roman" w:hAnsi="Times New Roman"/>
    </w:rPr>
  </w:style>
  <w:style w:type="paragraph" w:styleId="21">
    <w:name w:val="Normal (Web)"/>
    <w:basedOn w:val="1"/>
    <w:qFormat/>
    <w:uiPriority w:val="0"/>
    <w:pPr>
      <w:widowControl/>
      <w:spacing w:before="100" w:beforeAutospacing="1" w:after="100" w:afterAutospacing="1"/>
    </w:pPr>
    <w:rPr>
      <w:rFonts w:ascii="宋体" w:hAnsi="宋体" w:cs="宋体"/>
      <w:kern w:val="0"/>
      <w:szCs w:val="24"/>
    </w:rPr>
  </w:style>
  <w:style w:type="paragraph" w:styleId="22">
    <w:name w:val="Body Text First Indent 2"/>
    <w:basedOn w:val="11"/>
    <w:next w:val="1"/>
    <w:link w:val="45"/>
    <w:semiHidden/>
    <w:unhideWhenUsed/>
    <w:qFormat/>
    <w:uiPriority w:val="99"/>
    <w:pPr>
      <w:ind w:firstLine="420"/>
    </w:pPr>
    <w:rPr>
      <w:rFonts w:ascii="Calibri" w:hAnsi="Calibri" w:eastAsia="仿宋" w:cs="Times New Roman"/>
      <w:sz w:val="24"/>
      <w:szCs w:val="20"/>
    </w:rPr>
  </w:style>
  <w:style w:type="table" w:styleId="24">
    <w:name w:val="Table Grid"/>
    <w:basedOn w:val="23"/>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rPr>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customStyle="1" w:styleId="28">
    <w:name w:val="页眉 字符"/>
    <w:basedOn w:val="25"/>
    <w:link w:val="17"/>
    <w:qFormat/>
    <w:uiPriority w:val="99"/>
    <w:rPr>
      <w:sz w:val="18"/>
      <w:szCs w:val="18"/>
    </w:rPr>
  </w:style>
  <w:style w:type="character" w:customStyle="1" w:styleId="29">
    <w:name w:val="页脚 字符"/>
    <w:basedOn w:val="25"/>
    <w:link w:val="16"/>
    <w:qFormat/>
    <w:uiPriority w:val="99"/>
    <w:rPr>
      <w:sz w:val="18"/>
      <w:szCs w:val="18"/>
    </w:rPr>
  </w:style>
  <w:style w:type="character" w:customStyle="1" w:styleId="30">
    <w:name w:val="正文文本缩进 字符"/>
    <w:link w:val="11"/>
    <w:qFormat/>
    <w:uiPriority w:val="99"/>
    <w:rPr>
      <w:rFonts w:ascii="Times New Roman" w:hAnsi="Times New Roman"/>
    </w:rPr>
  </w:style>
  <w:style w:type="character" w:customStyle="1" w:styleId="31">
    <w:name w:val="正文文本缩进 Char1"/>
    <w:basedOn w:val="25"/>
    <w:semiHidden/>
    <w:qFormat/>
    <w:uiPriority w:val="99"/>
    <w:rPr>
      <w:rFonts w:ascii="Calibri" w:hAnsi="Calibri" w:eastAsia="仿宋" w:cs="Times New Roman"/>
      <w:sz w:val="24"/>
      <w:szCs w:val="20"/>
    </w:rPr>
  </w:style>
  <w:style w:type="character" w:customStyle="1" w:styleId="32">
    <w:name w:val="标题 4 字符"/>
    <w:basedOn w:val="25"/>
    <w:link w:val="5"/>
    <w:qFormat/>
    <w:uiPriority w:val="9"/>
    <w:rPr>
      <w:rFonts w:asciiTheme="majorHAnsi" w:hAnsiTheme="majorHAnsi" w:eastAsiaTheme="majorEastAsia" w:cstheme="majorBidi"/>
      <w:b/>
      <w:bCs/>
      <w:sz w:val="28"/>
      <w:szCs w:val="28"/>
    </w:rPr>
  </w:style>
  <w:style w:type="paragraph" w:styleId="33">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4">
    <w:name w:val="标题 2 字符"/>
    <w:basedOn w:val="25"/>
    <w:link w:val="4"/>
    <w:qFormat/>
    <w:uiPriority w:val="0"/>
    <w:rPr>
      <w:rFonts w:asciiTheme="majorHAnsi" w:hAnsiTheme="majorHAnsi" w:eastAsiaTheme="majorEastAsia" w:cstheme="majorBidi"/>
      <w:b/>
      <w:bCs/>
      <w:sz w:val="32"/>
      <w:szCs w:val="32"/>
    </w:rPr>
  </w:style>
  <w:style w:type="paragraph" w:customStyle="1" w:styleId="35">
    <w:name w:val="默认段落字体 Para Char Char Char Char Char Char Char Char Char1 Char Char Char Char"/>
    <w:basedOn w:val="1"/>
    <w:qFormat/>
    <w:uiPriority w:val="0"/>
    <w:rPr>
      <w:rFonts w:ascii="Tahoma" w:hAnsi="Tahoma"/>
    </w:rPr>
  </w:style>
  <w:style w:type="character" w:customStyle="1" w:styleId="36">
    <w:name w:val="标题 1 字符"/>
    <w:basedOn w:val="25"/>
    <w:link w:val="3"/>
    <w:qFormat/>
    <w:uiPriority w:val="9"/>
    <w:rPr>
      <w:rFonts w:ascii="Calibri" w:hAnsi="Calibri" w:eastAsia="仿宋" w:cs="Times New Roman"/>
      <w:b/>
      <w:bCs/>
      <w:kern w:val="44"/>
      <w:sz w:val="44"/>
      <w:szCs w:val="44"/>
    </w:rPr>
  </w:style>
  <w:style w:type="character" w:customStyle="1" w:styleId="37">
    <w:name w:val="正文文本 3 字符"/>
    <w:basedOn w:val="25"/>
    <w:link w:val="9"/>
    <w:semiHidden/>
    <w:qFormat/>
    <w:uiPriority w:val="99"/>
    <w:rPr>
      <w:rFonts w:ascii="Calibri" w:hAnsi="Calibri" w:eastAsia="仿宋" w:cs="Times New Roman"/>
      <w:sz w:val="16"/>
      <w:szCs w:val="16"/>
    </w:rPr>
  </w:style>
  <w:style w:type="character" w:customStyle="1" w:styleId="38">
    <w:name w:val="纯文本 字符"/>
    <w:link w:val="13"/>
    <w:qFormat/>
    <w:locked/>
    <w:uiPriority w:val="0"/>
    <w:rPr>
      <w:rFonts w:ascii="宋体" w:hAnsi="Courier New" w:eastAsia="宋体" w:cs="Times New Roman"/>
      <w:szCs w:val="20"/>
    </w:rPr>
  </w:style>
  <w:style w:type="character" w:customStyle="1" w:styleId="39">
    <w:name w:val="纯文本 Char"/>
    <w:basedOn w:val="25"/>
    <w:semiHidden/>
    <w:qFormat/>
    <w:uiPriority w:val="99"/>
    <w:rPr>
      <w:rFonts w:ascii="宋体" w:hAnsi="Courier New" w:eastAsia="宋体" w:cs="Courier New"/>
      <w:szCs w:val="21"/>
    </w:rPr>
  </w:style>
  <w:style w:type="paragraph" w:customStyle="1" w:styleId="40">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1">
    <w:name w:val="正文首行缩进 2 Char"/>
    <w:semiHidden/>
    <w:qFormat/>
    <w:uiPriority w:val="99"/>
    <w:rPr>
      <w:rFonts w:ascii="Times New Roman" w:hAnsi="Times New Roman" w:eastAsia="仿宋"/>
      <w:kern w:val="2"/>
      <w:sz w:val="24"/>
    </w:rPr>
  </w:style>
  <w:style w:type="character" w:customStyle="1" w:styleId="42">
    <w:name w:val="批注框文本 字符"/>
    <w:basedOn w:val="25"/>
    <w:link w:val="15"/>
    <w:semiHidden/>
    <w:qFormat/>
    <w:uiPriority w:val="99"/>
    <w:rPr>
      <w:rFonts w:ascii="Calibri" w:hAnsi="Calibri" w:eastAsia="仿宋"/>
      <w:kern w:val="2"/>
      <w:sz w:val="18"/>
      <w:szCs w:val="18"/>
    </w:rPr>
  </w:style>
  <w:style w:type="character" w:customStyle="1" w:styleId="43">
    <w:name w:val="批注文字 字符"/>
    <w:basedOn w:val="25"/>
    <w:link w:val="8"/>
    <w:qFormat/>
    <w:uiPriority w:val="99"/>
    <w:rPr>
      <w:rFonts w:eastAsiaTheme="minorEastAsia" w:cstheme="minorBidi"/>
      <w:kern w:val="2"/>
      <w:sz w:val="21"/>
      <w:szCs w:val="24"/>
    </w:rPr>
  </w:style>
  <w:style w:type="paragraph" w:customStyle="1" w:styleId="44">
    <w:name w:val="Default"/>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45">
    <w:name w:val="正文文本首行缩进 2 字符"/>
    <w:basedOn w:val="30"/>
    <w:link w:val="22"/>
    <w:semiHidden/>
    <w:qFormat/>
    <w:uiPriority w:val="99"/>
    <w:rPr>
      <w:rFonts w:ascii="Calibri" w:hAnsi="Calibri" w:eastAsia="仿宋"/>
      <w:kern w:val="2"/>
      <w:sz w:val="24"/>
    </w:rPr>
  </w:style>
  <w:style w:type="paragraph" w:customStyle="1" w:styleId="46">
    <w:name w:val="_Style 41"/>
    <w:basedOn w:val="11"/>
    <w:next w:val="22"/>
    <w:unhideWhenUsed/>
    <w:qFormat/>
    <w:uiPriority w:val="99"/>
    <w:pPr>
      <w:tabs>
        <w:tab w:val="left" w:pos="1260"/>
      </w:tabs>
      <w:spacing w:after="0"/>
      <w:ind w:left="0" w:leftChars="0" w:firstLine="420"/>
      <w:jc w:val="both"/>
    </w:pPr>
    <w:rPr>
      <w:rFonts w:eastAsia="宋体" w:cs="Times New Roman"/>
      <w:kern w:val="0"/>
      <w:sz w:val="20"/>
      <w:szCs w:val="24"/>
    </w:rPr>
  </w:style>
  <w:style w:type="paragraph" w:customStyle="1" w:styleId="47">
    <w:name w:val="_Style 42"/>
    <w:basedOn w:val="11"/>
    <w:next w:val="22"/>
    <w:unhideWhenUsed/>
    <w:qFormat/>
    <w:uiPriority w:val="99"/>
    <w:pPr>
      <w:tabs>
        <w:tab w:val="left" w:pos="1260"/>
      </w:tabs>
      <w:spacing w:after="0"/>
      <w:ind w:left="0" w:leftChars="0" w:firstLine="420"/>
      <w:jc w:val="both"/>
    </w:pPr>
    <w:rPr>
      <w:rFonts w:eastAsia="宋体" w:cs="Times New Roman"/>
      <w:kern w:val="0"/>
      <w:sz w:val="20"/>
      <w:szCs w:val="24"/>
    </w:rPr>
  </w:style>
  <w:style w:type="character" w:customStyle="1" w:styleId="48">
    <w:name w:val="font81"/>
    <w:basedOn w:val="25"/>
    <w:qFormat/>
    <w:uiPriority w:val="0"/>
    <w:rPr>
      <w:rFonts w:hint="eastAsia" w:ascii="宋体" w:hAnsi="宋体" w:eastAsia="宋体" w:cs="宋体"/>
      <w:color w:val="000000"/>
      <w:sz w:val="22"/>
      <w:szCs w:val="22"/>
      <w:u w:val="none"/>
    </w:rPr>
  </w:style>
  <w:style w:type="character" w:customStyle="1" w:styleId="49">
    <w:name w:val="font01"/>
    <w:basedOn w:val="25"/>
    <w:qFormat/>
    <w:uiPriority w:val="0"/>
    <w:rPr>
      <w:rFonts w:hint="default" w:ascii="Times New Roman" w:hAnsi="Times New Roman" w:cs="Times New Roman"/>
      <w:color w:val="000000"/>
      <w:sz w:val="22"/>
      <w:szCs w:val="22"/>
      <w:u w:val="none"/>
    </w:rPr>
  </w:style>
  <w:style w:type="character" w:customStyle="1" w:styleId="50">
    <w:name w:val="font31"/>
    <w:basedOn w:val="25"/>
    <w:qFormat/>
    <w:uiPriority w:val="0"/>
    <w:rPr>
      <w:rFonts w:hint="eastAsia" w:ascii="宋体" w:hAnsi="宋体" w:eastAsia="宋体" w:cs="宋体"/>
      <w:color w:val="000000"/>
      <w:sz w:val="22"/>
      <w:szCs w:val="22"/>
      <w:u w:val="none"/>
    </w:rPr>
  </w:style>
  <w:style w:type="character" w:customStyle="1" w:styleId="51">
    <w:name w:val="font12"/>
    <w:basedOn w:val="25"/>
    <w:qFormat/>
    <w:uiPriority w:val="0"/>
    <w:rPr>
      <w:rFonts w:ascii="仿宋" w:hAnsi="仿宋" w:eastAsia="仿宋" w:cs="仿宋"/>
      <w:color w:val="000000"/>
      <w:sz w:val="24"/>
      <w:szCs w:val="24"/>
      <w:u w:val="none"/>
    </w:rPr>
  </w:style>
  <w:style w:type="character" w:customStyle="1" w:styleId="52">
    <w:name w:val="font51"/>
    <w:basedOn w:val="25"/>
    <w:qFormat/>
    <w:uiPriority w:val="0"/>
    <w:rPr>
      <w:rFonts w:hint="default" w:ascii="Times New Roman" w:hAnsi="Times New Roman" w:cs="Times New Roman"/>
      <w:color w:val="000000"/>
      <w:sz w:val="22"/>
      <w:szCs w:val="22"/>
      <w:u w:val="none"/>
    </w:rPr>
  </w:style>
  <w:style w:type="character" w:customStyle="1" w:styleId="53">
    <w:name w:val="font71"/>
    <w:basedOn w:val="25"/>
    <w:qFormat/>
    <w:uiPriority w:val="0"/>
    <w:rPr>
      <w:rFonts w:hint="default" w:ascii="Times New Roman" w:hAnsi="Times New Roman" w:cs="Times New Roman"/>
      <w:color w:val="000000"/>
      <w:sz w:val="22"/>
      <w:szCs w:val="22"/>
      <w:u w:val="none"/>
    </w:rPr>
  </w:style>
  <w:style w:type="character" w:customStyle="1" w:styleId="54">
    <w:name w:val="font91"/>
    <w:basedOn w:val="25"/>
    <w:qFormat/>
    <w:uiPriority w:val="0"/>
    <w:rPr>
      <w:rFonts w:hint="eastAsia" w:ascii="宋体" w:hAnsi="宋体" w:eastAsia="宋体" w:cs="宋体"/>
      <w:color w:val="000000"/>
      <w:sz w:val="22"/>
      <w:szCs w:val="22"/>
      <w:u w:val="none"/>
    </w:rPr>
  </w:style>
  <w:style w:type="character" w:customStyle="1" w:styleId="55">
    <w:name w:val="font111"/>
    <w:basedOn w:val="25"/>
    <w:qFormat/>
    <w:uiPriority w:val="0"/>
    <w:rPr>
      <w:rFonts w:ascii="Wingdings 2" w:hAnsi="Wingdings 2" w:eastAsia="Wingdings 2" w:cs="Wingdings 2"/>
      <w:color w:val="000000"/>
      <w:sz w:val="22"/>
      <w:szCs w:val="22"/>
      <w:u w:val="none"/>
    </w:rPr>
  </w:style>
  <w:style w:type="character" w:customStyle="1" w:styleId="56">
    <w:name w:val="font122"/>
    <w:basedOn w:val="25"/>
    <w:qFormat/>
    <w:uiPriority w:val="0"/>
    <w:rPr>
      <w:rFonts w:hint="default" w:ascii="Wingdings 2" w:hAnsi="Wingdings 2" w:eastAsia="Wingdings 2" w:cs="Wingdings 2"/>
      <w:color w:val="000000"/>
      <w:sz w:val="22"/>
      <w:szCs w:val="22"/>
      <w:u w:val="none"/>
    </w:rPr>
  </w:style>
  <w:style w:type="character" w:customStyle="1" w:styleId="57">
    <w:name w:val="font11"/>
    <w:basedOn w:val="25"/>
    <w:qFormat/>
    <w:uiPriority w:val="0"/>
    <w:rPr>
      <w:rFonts w:hint="eastAsia" w:ascii="宋体" w:hAnsi="宋体" w:eastAsia="宋体" w:cs="宋体"/>
      <w:b/>
      <w:bCs/>
      <w:color w:val="000000"/>
      <w:sz w:val="32"/>
      <w:szCs w:val="32"/>
      <w:u w:val="none"/>
    </w:rPr>
  </w:style>
  <w:style w:type="paragraph" w:customStyle="1" w:styleId="58">
    <w:name w:val="列出段落1"/>
    <w:basedOn w:val="1"/>
    <w:qFormat/>
    <w:uiPriority w:val="0"/>
    <w:pPr>
      <w:ind w:firstLine="420" w:firstLineChars="200"/>
    </w:pPr>
    <w:rPr>
      <w:rFonts w:ascii="Calibri" w:hAnsi="Calibri"/>
      <w:szCs w:val="22"/>
    </w:rPr>
  </w:style>
  <w:style w:type="character" w:customStyle="1" w:styleId="59">
    <w:name w:val="font61"/>
    <w:basedOn w:val="25"/>
    <w:qFormat/>
    <w:uiPriority w:val="0"/>
    <w:rPr>
      <w:rFonts w:hint="eastAsia" w:ascii="宋体" w:hAnsi="宋体" w:eastAsia="宋体" w:cs="宋体"/>
      <w:color w:val="000000"/>
      <w:sz w:val="24"/>
      <w:szCs w:val="24"/>
      <w:u w:val="none"/>
    </w:rPr>
  </w:style>
  <w:style w:type="paragraph" w:customStyle="1" w:styleId="60">
    <w:name w:val="纯文本1"/>
    <w:basedOn w:val="13"/>
    <w:qFormat/>
    <w:uiPriority w:val="0"/>
    <w:pPr>
      <w:spacing w:after="0" w:line="220" w:lineRule="atLeast"/>
      <w:jc w:val="center"/>
    </w:pPr>
    <w:rPr>
      <w:rFonts w:ascii="仿宋" w:hAnsi="仿宋" w:eastAsia="仿宋"/>
      <w:sz w:val="24"/>
      <w:szCs w:val="24"/>
    </w:rPr>
  </w:style>
  <w:style w:type="paragraph" w:styleId="61">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88265D-9055-4F2F-AE2C-714644261104}">
  <ds:schemaRefs/>
</ds:datastoreItem>
</file>

<file path=docProps/app.xml><?xml version="1.0" encoding="utf-8"?>
<Properties xmlns="http://schemas.openxmlformats.org/officeDocument/2006/extended-properties" xmlns:vt="http://schemas.openxmlformats.org/officeDocument/2006/docPropsVTypes">
  <Template>Normal</Template>
  <Pages>20</Pages>
  <Words>9575</Words>
  <Characters>10759</Characters>
  <Lines>56</Lines>
  <Paragraphs>15</Paragraphs>
  <TotalTime>18</TotalTime>
  <ScaleCrop>false</ScaleCrop>
  <LinksUpToDate>false</LinksUpToDate>
  <CharactersWithSpaces>11054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2021-06-14T03:46:00Z</dcterms:created>
  <dc:creator>shaojing</dc:creator>
  <cp:lastModifiedBy>子非鱼</cp:lastModifiedBy>
  <dcterms:modified xsi:type="dcterms:W3CDTF">2023-07-11T07:10:46Z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5D3E90DFBD414FA1B89755CC9C0FB690</vt:lpwstr>
  </property>
</Properties>
</file>