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03382">
      <w:pPr>
        <w:keepNext w:val="0"/>
        <w:keepLines w:val="0"/>
        <w:pageBreakBefore w:val="0"/>
        <w:kinsoku/>
        <w:overflowPunct/>
        <w:topLinePunct w:val="0"/>
        <w:bidi w:val="0"/>
        <w:spacing w:line="360" w:lineRule="auto"/>
        <w:jc w:val="center"/>
        <w:rPr>
          <w:rFonts w:ascii="宋体"/>
          <w:sz w:val="44"/>
          <w:szCs w:val="44"/>
          <w:highlight w:val="none"/>
        </w:rPr>
      </w:pPr>
    </w:p>
    <w:p w14:paraId="26A3033D">
      <w:pPr>
        <w:keepNext w:val="0"/>
        <w:keepLines w:val="0"/>
        <w:pageBreakBefore w:val="0"/>
        <w:kinsoku/>
        <w:overflowPunct/>
        <w:topLinePunct w:val="0"/>
        <w:bidi w:val="0"/>
        <w:spacing w:line="360" w:lineRule="auto"/>
        <w:jc w:val="center"/>
        <w:rPr>
          <w:rFonts w:ascii="宋体"/>
          <w:b/>
          <w:bCs/>
          <w:sz w:val="44"/>
          <w:szCs w:val="44"/>
          <w:highlight w:val="none"/>
        </w:rPr>
      </w:pPr>
      <w:r>
        <w:rPr>
          <w:rFonts w:hint="eastAsia" w:ascii="宋体" w:hAnsi="宋体"/>
          <w:b/>
          <w:bCs/>
          <w:sz w:val="44"/>
          <w:szCs w:val="44"/>
          <w:highlight w:val="none"/>
        </w:rPr>
        <w:t>山东省政府采购合同</w:t>
      </w:r>
    </w:p>
    <w:p w14:paraId="7095FA31">
      <w:pPr>
        <w:keepNext w:val="0"/>
        <w:keepLines w:val="0"/>
        <w:pageBreakBefore w:val="0"/>
        <w:kinsoku/>
        <w:overflowPunct/>
        <w:topLinePunct w:val="0"/>
        <w:bidi w:val="0"/>
        <w:snapToGrid w:val="0"/>
        <w:spacing w:line="360" w:lineRule="auto"/>
        <w:jc w:val="center"/>
        <w:rPr>
          <w:rFonts w:ascii="宋体"/>
          <w:sz w:val="32"/>
          <w:szCs w:val="32"/>
          <w:highlight w:val="none"/>
        </w:rPr>
      </w:pPr>
      <w:r>
        <w:rPr>
          <w:rFonts w:hint="eastAsia" w:ascii="宋体" w:hAnsi="宋体"/>
          <w:sz w:val="32"/>
          <w:szCs w:val="32"/>
          <w:highlight w:val="none"/>
        </w:rPr>
        <w:t>（</w:t>
      </w:r>
      <w:r>
        <w:rPr>
          <w:rFonts w:hint="eastAsia" w:ascii="宋体" w:hAnsi="宋体"/>
          <w:sz w:val="32"/>
          <w:szCs w:val="32"/>
          <w:highlight w:val="none"/>
          <w:lang w:val="en-US" w:eastAsia="zh-CN"/>
        </w:rPr>
        <w:t>服务</w:t>
      </w:r>
      <w:r>
        <w:rPr>
          <w:rFonts w:hint="eastAsia" w:ascii="宋体" w:hAnsi="宋体"/>
          <w:sz w:val="32"/>
          <w:szCs w:val="32"/>
          <w:highlight w:val="none"/>
        </w:rPr>
        <w:t>类）</w:t>
      </w:r>
    </w:p>
    <w:p w14:paraId="520B0575">
      <w:pPr>
        <w:keepNext w:val="0"/>
        <w:keepLines w:val="0"/>
        <w:pageBreakBefore w:val="0"/>
        <w:kinsoku/>
        <w:overflowPunct/>
        <w:topLinePunct w:val="0"/>
        <w:bidi w:val="0"/>
        <w:snapToGrid w:val="0"/>
        <w:spacing w:line="360" w:lineRule="auto"/>
        <w:jc w:val="center"/>
        <w:rPr>
          <w:rFonts w:ascii="宋体"/>
          <w:sz w:val="28"/>
          <w:szCs w:val="28"/>
          <w:highlight w:val="none"/>
        </w:rPr>
      </w:pPr>
      <w:r>
        <w:rPr>
          <w:rFonts w:hint="eastAsia" w:ascii="宋体" w:hAnsi="宋体" w:cs="宋体"/>
          <w:sz w:val="32"/>
          <w:szCs w:val="32"/>
          <w:highlight w:val="none"/>
        </w:rPr>
        <w:t>（仅供参考，具体以实际为准）</w:t>
      </w:r>
    </w:p>
    <w:p w14:paraId="72B1BCBD">
      <w:pPr>
        <w:keepNext w:val="0"/>
        <w:keepLines w:val="0"/>
        <w:pageBreakBefore w:val="0"/>
        <w:kinsoku/>
        <w:overflowPunct/>
        <w:topLinePunct w:val="0"/>
        <w:bidi w:val="0"/>
        <w:snapToGrid w:val="0"/>
        <w:spacing w:line="360" w:lineRule="auto"/>
        <w:jc w:val="center"/>
        <w:rPr>
          <w:rFonts w:ascii="宋体"/>
          <w:sz w:val="28"/>
          <w:szCs w:val="28"/>
          <w:highlight w:val="none"/>
        </w:rPr>
      </w:pPr>
    </w:p>
    <w:p w14:paraId="47A0094F">
      <w:pPr>
        <w:keepNext w:val="0"/>
        <w:keepLines w:val="0"/>
        <w:pageBreakBefore w:val="0"/>
        <w:kinsoku/>
        <w:overflowPunct/>
        <w:topLinePunct w:val="0"/>
        <w:bidi w:val="0"/>
        <w:snapToGrid w:val="0"/>
        <w:spacing w:line="360" w:lineRule="auto"/>
        <w:jc w:val="center"/>
        <w:rPr>
          <w:rFonts w:ascii="宋体"/>
          <w:sz w:val="28"/>
          <w:szCs w:val="28"/>
          <w:highlight w:val="none"/>
        </w:rPr>
      </w:pPr>
    </w:p>
    <w:p w14:paraId="5191E2FD">
      <w:pPr>
        <w:keepNext w:val="0"/>
        <w:keepLines w:val="0"/>
        <w:pageBreakBefore w:val="0"/>
        <w:kinsoku/>
        <w:overflowPunct/>
        <w:topLinePunct w:val="0"/>
        <w:bidi w:val="0"/>
        <w:rPr>
          <w:highlight w:val="none"/>
        </w:rPr>
      </w:pPr>
    </w:p>
    <w:p w14:paraId="2FEB999C">
      <w:pPr>
        <w:keepNext w:val="0"/>
        <w:keepLines w:val="0"/>
        <w:pageBreakBefore w:val="0"/>
        <w:kinsoku/>
        <w:overflowPunct/>
        <w:topLinePunct w:val="0"/>
        <w:bidi w:val="0"/>
        <w:snapToGrid w:val="0"/>
        <w:spacing w:line="360" w:lineRule="auto"/>
        <w:ind w:left="3196" w:leftChars="760" w:hanging="1600" w:hangingChars="500"/>
        <w:rPr>
          <w:rFonts w:hint="eastAsia" w:ascii="宋体" w:hAnsi="宋体" w:eastAsia="宋体" w:cs="宋体"/>
          <w:bCs/>
          <w:sz w:val="32"/>
          <w:szCs w:val="32"/>
          <w:highlight w:val="none"/>
          <w:u w:val="single"/>
          <w:lang w:eastAsia="zh-CN"/>
        </w:rPr>
      </w:pPr>
      <w:r>
        <w:rPr>
          <w:rFonts w:hint="eastAsia" w:ascii="宋体" w:hAnsi="宋体" w:cs="宋体"/>
          <w:bCs/>
          <w:sz w:val="32"/>
          <w:szCs w:val="32"/>
          <w:highlight w:val="none"/>
        </w:rPr>
        <w:t>项目名称：</w:t>
      </w:r>
      <w:r>
        <w:rPr>
          <w:rFonts w:hint="eastAsia" w:ascii="宋体" w:hAnsi="宋体" w:cs="宋体"/>
          <w:bCs/>
          <w:sz w:val="32"/>
          <w:szCs w:val="32"/>
          <w:highlight w:val="none"/>
          <w:u w:val="single"/>
        </w:rPr>
        <w:t>山东第一医科大学泰安校区龙山厅、凤凰厅（含天烛厅）自主经营服务项目</w:t>
      </w:r>
    </w:p>
    <w:p w14:paraId="25C5B35A">
      <w:pPr>
        <w:keepNext w:val="0"/>
        <w:keepLines w:val="0"/>
        <w:pageBreakBefore w:val="0"/>
        <w:kinsoku/>
        <w:overflowPunct/>
        <w:topLinePunct w:val="0"/>
        <w:bidi w:val="0"/>
        <w:snapToGrid w:val="0"/>
        <w:spacing w:line="360" w:lineRule="auto"/>
        <w:ind w:firstLine="1600" w:firstLineChars="500"/>
        <w:rPr>
          <w:rFonts w:ascii="宋体" w:hAnsi="宋体" w:cs="宋体"/>
          <w:bCs/>
          <w:sz w:val="32"/>
          <w:szCs w:val="32"/>
          <w:highlight w:val="none"/>
          <w:u w:val="single"/>
        </w:rPr>
      </w:pPr>
      <w:r>
        <w:rPr>
          <w:rFonts w:hint="eastAsia" w:ascii="宋体" w:hAnsi="宋体" w:cs="宋体"/>
          <w:bCs/>
          <w:sz w:val="32"/>
          <w:szCs w:val="32"/>
          <w:highlight w:val="none"/>
        </w:rPr>
        <w:t>合同编号：</w:t>
      </w:r>
      <w:r>
        <w:rPr>
          <w:rFonts w:ascii="宋体" w:hAnsi="宋体" w:cs="宋体"/>
          <w:bCs/>
          <w:sz w:val="30"/>
          <w:szCs w:val="30"/>
          <w:highlight w:val="none"/>
          <w:u w:val="single"/>
        </w:rPr>
        <w:t xml:space="preserve">                        </w:t>
      </w:r>
    </w:p>
    <w:p w14:paraId="6DD77DBC">
      <w:pPr>
        <w:keepNext w:val="0"/>
        <w:keepLines w:val="0"/>
        <w:pageBreakBefore w:val="0"/>
        <w:kinsoku/>
        <w:overflowPunct/>
        <w:topLinePunct w:val="0"/>
        <w:bidi w:val="0"/>
        <w:snapToGrid w:val="0"/>
        <w:spacing w:line="360" w:lineRule="auto"/>
        <w:ind w:firstLine="1600" w:firstLineChars="500"/>
        <w:rPr>
          <w:rFonts w:hint="eastAsia" w:ascii="宋体" w:hAnsi="宋体" w:cs="宋体"/>
          <w:bCs/>
          <w:sz w:val="32"/>
          <w:szCs w:val="32"/>
          <w:highlight w:val="none"/>
          <w:u w:val="single"/>
        </w:rPr>
      </w:pPr>
      <w:r>
        <w:rPr>
          <w:rFonts w:hint="eastAsia" w:ascii="宋体" w:hAnsi="宋体" w:cs="宋体"/>
          <w:bCs/>
          <w:sz w:val="32"/>
          <w:szCs w:val="32"/>
          <w:highlight w:val="none"/>
        </w:rPr>
        <w:t>计划编号：</w:t>
      </w:r>
      <w:r>
        <w:rPr>
          <w:rFonts w:ascii="宋体" w:hAnsi="宋体" w:cs="宋体"/>
          <w:bCs/>
          <w:sz w:val="30"/>
          <w:szCs w:val="30"/>
          <w:highlight w:val="none"/>
          <w:u w:val="single"/>
        </w:rPr>
        <w:t xml:space="preserve">                        </w:t>
      </w:r>
    </w:p>
    <w:p w14:paraId="450C7B73">
      <w:pPr>
        <w:keepNext w:val="0"/>
        <w:keepLines w:val="0"/>
        <w:pageBreakBefore w:val="0"/>
        <w:kinsoku/>
        <w:overflowPunct/>
        <w:topLinePunct w:val="0"/>
        <w:bidi w:val="0"/>
        <w:spacing w:line="360" w:lineRule="auto"/>
        <w:rPr>
          <w:rFonts w:ascii="宋体"/>
          <w:b/>
          <w:sz w:val="24"/>
          <w:highlight w:val="none"/>
        </w:rPr>
      </w:pPr>
    </w:p>
    <w:p w14:paraId="4758FE47">
      <w:pPr>
        <w:pStyle w:val="2"/>
      </w:pPr>
    </w:p>
    <w:p w14:paraId="71ABFAA8">
      <w:pPr>
        <w:keepNext w:val="0"/>
        <w:keepLines w:val="0"/>
        <w:pageBreakBefore w:val="0"/>
        <w:kinsoku/>
        <w:overflowPunct/>
        <w:topLinePunct w:val="0"/>
        <w:bidi w:val="0"/>
        <w:spacing w:line="360" w:lineRule="auto"/>
        <w:jc w:val="center"/>
        <w:rPr>
          <w:rFonts w:ascii="宋体"/>
          <w:b/>
          <w:sz w:val="24"/>
          <w:highlight w:val="none"/>
        </w:rPr>
      </w:pPr>
    </w:p>
    <w:p w14:paraId="4AACCB26">
      <w:pPr>
        <w:keepNext w:val="0"/>
        <w:keepLines w:val="0"/>
        <w:pageBreakBefore w:val="0"/>
        <w:kinsoku/>
        <w:overflowPunct/>
        <w:topLinePunct w:val="0"/>
        <w:bidi w:val="0"/>
        <w:spacing w:line="360" w:lineRule="auto"/>
        <w:jc w:val="center"/>
        <w:rPr>
          <w:rFonts w:ascii="宋体"/>
          <w:b/>
          <w:sz w:val="24"/>
          <w:highlight w:val="none"/>
        </w:rPr>
      </w:pPr>
    </w:p>
    <w:p w14:paraId="3B84BD0F">
      <w:pPr>
        <w:keepNext w:val="0"/>
        <w:keepLines w:val="0"/>
        <w:pageBreakBefore w:val="0"/>
        <w:kinsoku/>
        <w:overflowPunct/>
        <w:topLinePunct w:val="0"/>
        <w:bidi w:val="0"/>
        <w:snapToGrid w:val="0"/>
        <w:spacing w:line="360" w:lineRule="auto"/>
        <w:ind w:firstLine="1600" w:firstLineChars="500"/>
        <w:rPr>
          <w:rFonts w:hint="eastAsia" w:ascii="宋体" w:hAnsi="宋体" w:cs="宋体"/>
          <w:bCs/>
          <w:sz w:val="32"/>
          <w:szCs w:val="32"/>
          <w:highlight w:val="none"/>
          <w:lang w:eastAsia="zh-CN"/>
        </w:rPr>
      </w:pPr>
      <w:r>
        <w:rPr>
          <w:rFonts w:hint="eastAsia" w:ascii="宋体" w:hAnsi="宋体" w:cs="宋体"/>
          <w:bCs/>
          <w:sz w:val="32"/>
          <w:szCs w:val="32"/>
          <w:highlight w:val="none"/>
        </w:rPr>
        <w:t>甲    方：</w:t>
      </w:r>
      <w:r>
        <w:rPr>
          <w:rFonts w:hint="eastAsia" w:ascii="宋体" w:hAnsi="宋体" w:cs="宋体"/>
          <w:bCs/>
          <w:sz w:val="32"/>
          <w:szCs w:val="32"/>
          <w:highlight w:val="none"/>
          <w:u w:val="single"/>
        </w:rPr>
        <w:t>山东第一医科大学</w:t>
      </w:r>
    </w:p>
    <w:p w14:paraId="6C240008">
      <w:pPr>
        <w:keepNext w:val="0"/>
        <w:keepLines w:val="0"/>
        <w:pageBreakBefore w:val="0"/>
        <w:kinsoku/>
        <w:overflowPunct/>
        <w:topLinePunct w:val="0"/>
        <w:bidi w:val="0"/>
        <w:snapToGrid w:val="0"/>
        <w:spacing w:line="360" w:lineRule="auto"/>
        <w:ind w:firstLine="1600" w:firstLineChars="500"/>
        <w:rPr>
          <w:rFonts w:hint="eastAsia" w:ascii="宋体" w:hAnsi="宋体" w:cs="宋体"/>
          <w:bCs/>
          <w:sz w:val="32"/>
          <w:szCs w:val="32"/>
          <w:highlight w:val="none"/>
        </w:rPr>
      </w:pPr>
      <w:r>
        <w:rPr>
          <w:rFonts w:hint="eastAsia" w:ascii="宋体" w:hAnsi="宋体" w:cs="宋体"/>
          <w:bCs/>
          <w:sz w:val="32"/>
          <w:szCs w:val="32"/>
          <w:highlight w:val="none"/>
        </w:rPr>
        <w:t>乙    方：</w:t>
      </w:r>
      <w:r>
        <w:rPr>
          <w:rFonts w:hint="eastAsia" w:ascii="宋体" w:hAnsi="宋体" w:cs="宋体"/>
          <w:bCs/>
          <w:sz w:val="32"/>
          <w:szCs w:val="32"/>
          <w:highlight w:val="none"/>
          <w:u w:val="single"/>
        </w:rPr>
        <w:t xml:space="preserve">                          </w:t>
      </w:r>
    </w:p>
    <w:p w14:paraId="37D16F8C">
      <w:pPr>
        <w:keepNext w:val="0"/>
        <w:keepLines w:val="0"/>
        <w:pageBreakBefore w:val="0"/>
        <w:kinsoku/>
        <w:overflowPunct/>
        <w:topLinePunct w:val="0"/>
        <w:bidi w:val="0"/>
        <w:snapToGrid w:val="0"/>
        <w:spacing w:line="360" w:lineRule="auto"/>
        <w:ind w:firstLine="1600" w:firstLineChars="500"/>
        <w:rPr>
          <w:rFonts w:hint="eastAsia" w:ascii="宋体" w:hAnsi="宋体" w:cs="宋体"/>
          <w:bCs/>
          <w:sz w:val="32"/>
          <w:szCs w:val="32"/>
          <w:highlight w:val="none"/>
        </w:rPr>
      </w:pPr>
      <w:r>
        <w:rPr>
          <w:rFonts w:hint="eastAsia" w:ascii="宋体" w:hAnsi="宋体" w:cs="宋体"/>
          <w:bCs/>
          <w:sz w:val="32"/>
          <w:szCs w:val="32"/>
          <w:highlight w:val="none"/>
        </w:rPr>
        <w:t>代理机构：</w:t>
      </w:r>
      <w:r>
        <w:rPr>
          <w:rFonts w:hint="eastAsia" w:ascii="宋体" w:hAnsi="宋体" w:cs="宋体"/>
          <w:bCs/>
          <w:sz w:val="32"/>
          <w:szCs w:val="32"/>
          <w:highlight w:val="none"/>
          <w:u w:val="single"/>
        </w:rPr>
        <w:t>山东天惠兴招标咨询有限公司</w:t>
      </w:r>
    </w:p>
    <w:p w14:paraId="08DD9A51">
      <w:pPr>
        <w:keepNext w:val="0"/>
        <w:keepLines w:val="0"/>
        <w:pageBreakBefore w:val="0"/>
        <w:kinsoku/>
        <w:overflowPunct/>
        <w:topLinePunct w:val="0"/>
        <w:bidi w:val="0"/>
        <w:snapToGrid w:val="0"/>
        <w:spacing w:line="360" w:lineRule="auto"/>
        <w:ind w:firstLine="1600" w:firstLineChars="500"/>
        <w:rPr>
          <w:rFonts w:hint="eastAsia" w:ascii="宋体" w:hAnsi="宋体" w:cs="宋体"/>
          <w:bCs/>
          <w:sz w:val="32"/>
          <w:szCs w:val="32"/>
          <w:highlight w:val="none"/>
          <w:lang w:eastAsia="zh-CN"/>
        </w:rPr>
      </w:pPr>
    </w:p>
    <w:p w14:paraId="1580EE2B">
      <w:pPr>
        <w:spacing w:before="263" w:line="219" w:lineRule="auto"/>
        <w:ind w:left="668"/>
        <w:rPr>
          <w:rFonts w:hint="eastAsia" w:ascii="宋体" w:hAnsi="宋体" w:eastAsia="宋体" w:cs="宋体"/>
          <w:color w:val="000000" w:themeColor="text1"/>
          <w:sz w:val="36"/>
          <w:szCs w:val="36"/>
          <w:lang w:eastAsia="zh-CN"/>
          <w14:textFill>
            <w14:solidFill>
              <w14:schemeClr w14:val="tx1"/>
            </w14:solidFill>
          </w14:textFill>
        </w:rPr>
      </w:pPr>
    </w:p>
    <w:p w14:paraId="18BE2E98">
      <w:pPr>
        <w:spacing w:line="219" w:lineRule="auto"/>
        <w:rPr>
          <w:rFonts w:ascii="宋体" w:hAnsi="宋体" w:eastAsia="宋体" w:cs="宋体"/>
          <w:color w:val="000000" w:themeColor="text1"/>
          <w:sz w:val="36"/>
          <w:szCs w:val="36"/>
          <w14:textFill>
            <w14:solidFill>
              <w14:schemeClr w14:val="tx1"/>
            </w14:solidFill>
          </w14:textFill>
        </w:rPr>
        <w:sectPr>
          <w:footerReference r:id="rId3" w:type="default"/>
          <w:pgSz w:w="11910" w:h="16840"/>
          <w:pgMar w:top="1440" w:right="1080" w:bottom="1440" w:left="1080" w:header="0" w:footer="0" w:gutter="0"/>
          <w:pgNumType w:fmt="decimal"/>
          <w:cols w:space="720" w:num="1"/>
        </w:sectPr>
      </w:pPr>
    </w:p>
    <w:p w14:paraId="5A4B4D05">
      <w:pPr>
        <w:keepNext w:val="0"/>
        <w:keepLines w:val="0"/>
        <w:pageBreakBefore w:val="0"/>
        <w:kinsoku/>
        <w:overflowPunct/>
        <w:topLinePunct w:val="0"/>
        <w:bidi w:val="0"/>
        <w:adjustRightInd w:val="0"/>
        <w:snapToGrid w:val="0"/>
        <w:spacing w:line="360" w:lineRule="auto"/>
        <w:ind w:firstLine="480" w:firstLineChars="200"/>
        <w:jc w:val="left"/>
        <w:rPr>
          <w:rFonts w:ascii="宋体" w:cs="宋体"/>
          <w:sz w:val="24"/>
          <w:highlight w:val="none"/>
          <w:u w:val="single"/>
        </w:rPr>
      </w:pPr>
      <w:r>
        <w:rPr>
          <w:rFonts w:hint="eastAsia" w:ascii="宋体" w:hAnsi="宋体" w:cs="宋体"/>
          <w:sz w:val="24"/>
          <w:highlight w:val="none"/>
        </w:rPr>
        <w:t>甲方（</w:t>
      </w:r>
      <w:r>
        <w:rPr>
          <w:rFonts w:hint="eastAsia" w:ascii="宋体" w:hAnsi="宋体" w:eastAsia="宋体" w:cs="宋体"/>
          <w:sz w:val="24"/>
          <w:highlight w:val="none"/>
          <w:lang w:val="en-US" w:eastAsia="zh-CN"/>
        </w:rPr>
        <w:t>采购人</w:t>
      </w:r>
      <w:r>
        <w:rPr>
          <w:rFonts w:hint="eastAsia" w:ascii="宋体" w:hAnsi="宋体" w:cs="宋体"/>
          <w:sz w:val="24"/>
          <w:highlight w:val="none"/>
        </w:rPr>
        <w:t>）：</w:t>
      </w:r>
      <w:r>
        <w:rPr>
          <w:rFonts w:hint="eastAsia" w:ascii="宋体" w:hAnsi="宋体" w:cs="宋体"/>
          <w:sz w:val="24"/>
          <w:highlight w:val="none"/>
          <w:u w:val="single"/>
        </w:rPr>
        <w:t>山东第一医科大学</w:t>
      </w:r>
    </w:p>
    <w:p w14:paraId="36BC2892">
      <w:pPr>
        <w:keepNext w:val="0"/>
        <w:keepLines w:val="0"/>
        <w:pageBreakBefore w:val="0"/>
        <w:kinsoku/>
        <w:overflowPunct/>
        <w:topLinePunct w:val="0"/>
        <w:bidi w:val="0"/>
        <w:adjustRightInd w:val="0"/>
        <w:snapToGrid w:val="0"/>
        <w:spacing w:line="360" w:lineRule="auto"/>
        <w:ind w:firstLine="480" w:firstLineChars="200"/>
        <w:rPr>
          <w:rFonts w:ascii="宋体" w:cs="宋体"/>
          <w:sz w:val="24"/>
          <w:highlight w:val="none"/>
        </w:rPr>
      </w:pPr>
      <w:r>
        <w:rPr>
          <w:rFonts w:hint="eastAsia" w:ascii="宋体" w:hAnsi="宋体" w:cs="宋体"/>
          <w:sz w:val="24"/>
          <w:highlight w:val="none"/>
        </w:rPr>
        <w:t>乙方（中标人）：</w:t>
      </w:r>
      <w:r>
        <w:rPr>
          <w:rFonts w:hint="eastAsia" w:ascii="宋体" w:hAnsi="宋体" w:cs="宋体"/>
          <w:sz w:val="24"/>
          <w:highlight w:val="none"/>
          <w:u w:val="single"/>
        </w:rPr>
        <w:t xml:space="preserve"> </w:t>
      </w:r>
      <w:r>
        <w:rPr>
          <w:rFonts w:ascii="宋体" w:hAnsi="宋体" w:cs="宋体"/>
          <w:sz w:val="24"/>
          <w:highlight w:val="none"/>
          <w:u w:val="single"/>
        </w:rPr>
        <w:t xml:space="preserve">                  </w:t>
      </w:r>
    </w:p>
    <w:p w14:paraId="05BBFF4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宋体"/>
          <w:sz w:val="24"/>
          <w:highlight w:val="none"/>
        </w:rPr>
        <w:t>根据《中华人民共和国民法典》《中华人民共和国产品质量法》及其他有关法律法规，双方经过友好协商，本着诚实守信、互惠互利的原则，就</w:t>
      </w:r>
      <w:r>
        <w:rPr>
          <w:rFonts w:hint="eastAsia" w:ascii="宋体" w:hAnsi="宋体" w:cs="宋体"/>
          <w:sz w:val="24"/>
          <w:highlight w:val="none"/>
          <w:u w:val="single"/>
        </w:rPr>
        <w:t>山东第一医科大学泰安校区龙山厅、凤凰厅（含天烛厅）自主经营服务项目</w:t>
      </w:r>
      <w:r>
        <w:rPr>
          <w:rFonts w:hint="eastAsia" w:ascii="宋体" w:hAnsi="宋体" w:eastAsia="宋体" w:cs="宋体"/>
          <w:sz w:val="24"/>
          <w:highlight w:val="none"/>
          <w:u w:val="single"/>
          <w:lang w:eastAsia="zh-CN"/>
        </w:rPr>
        <w:t>、</w:t>
      </w:r>
      <w:r>
        <w:rPr>
          <w:rFonts w:hint="eastAsia" w:ascii="宋体" w:hAnsi="宋体" w:eastAsia="宋体" w:cs="宋体"/>
          <w:sz w:val="24"/>
          <w:highlight w:val="none"/>
          <w:u w:val="single"/>
          <w:lang w:val="en-US" w:eastAsia="zh-CN"/>
        </w:rPr>
        <w:t xml:space="preserve">采购包   </w:t>
      </w:r>
      <w:r>
        <w:rPr>
          <w:rFonts w:hint="eastAsia" w:ascii="宋体" w:hAnsi="宋体" w:cs="宋体"/>
          <w:sz w:val="24"/>
          <w:highlight w:val="none"/>
          <w:u w:val="single"/>
        </w:rPr>
        <w:t>（项目编号</w:t>
      </w:r>
      <w:r>
        <w:rPr>
          <w:rFonts w:hint="eastAsia" w:ascii="宋体" w:hAnsi="宋体" w:cs="宋体"/>
          <w:sz w:val="24"/>
          <w:highlight w:val="none"/>
          <w:u w:val="single"/>
          <w:lang w:eastAsia="zh-CN"/>
        </w:rPr>
        <w:t>：</w:t>
      </w:r>
      <w:r>
        <w:rPr>
          <w:rFonts w:hint="eastAsia" w:ascii="宋体" w:hAnsi="宋体" w:cs="宋体"/>
          <w:sz w:val="24"/>
          <w:highlight w:val="none"/>
          <w:u w:val="single"/>
        </w:rPr>
        <w:t>）</w:t>
      </w:r>
      <w:r>
        <w:rPr>
          <w:rFonts w:hint="eastAsia" w:ascii="宋体" w:hAnsi="宋体" w:cs="宋体"/>
          <w:sz w:val="24"/>
          <w:highlight w:val="none"/>
        </w:rPr>
        <w:t>采购与供应事宜签订本合同条款，</w:t>
      </w:r>
      <w:r>
        <w:rPr>
          <w:rFonts w:hint="eastAsia" w:ascii="宋体" w:hAnsi="宋体" w:cs="仿宋_GB2312"/>
          <w:kern w:val="0"/>
          <w:sz w:val="24"/>
          <w:highlight w:val="none"/>
        </w:rPr>
        <w:t>共同达成如下协议：</w:t>
      </w:r>
    </w:p>
    <w:p w14:paraId="617938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4" w:firstLineChars="200"/>
        <w:textAlignment w:val="baseline"/>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pacing w:val="3"/>
          <w:sz w:val="24"/>
          <w:szCs w:val="24"/>
          <w14:textFill>
            <w14:solidFill>
              <w14:schemeClr w14:val="tx1"/>
            </w14:solidFill>
          </w14:textFill>
        </w:rPr>
        <w:t>一、合同文件</w:t>
      </w:r>
    </w:p>
    <w:p w14:paraId="3BDEBE9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本合同所附下列文件是构成本合同不可分割的部分：</w:t>
      </w:r>
    </w:p>
    <w:p w14:paraId="7DEECFC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一</w:t>
      </w:r>
      <w:r>
        <w:rPr>
          <w:rFonts w:hint="eastAsia" w:ascii="宋体" w:hAnsi="宋体" w:cs="宋体"/>
          <w:sz w:val="24"/>
          <w:highlight w:val="none"/>
          <w:lang w:eastAsia="zh-CN"/>
        </w:rPr>
        <w:t>）</w:t>
      </w:r>
      <w:r>
        <w:rPr>
          <w:rFonts w:hint="eastAsia" w:ascii="宋体" w:hAnsi="宋体" w:cs="宋体"/>
          <w:sz w:val="24"/>
          <w:highlight w:val="none"/>
        </w:rPr>
        <w:t>本项目招标文件</w:t>
      </w:r>
      <w:r>
        <w:rPr>
          <w:rFonts w:hint="eastAsia" w:ascii="宋体" w:hAnsi="宋体" w:cs="仿宋_GB2312"/>
          <w:kern w:val="0"/>
          <w:sz w:val="24"/>
          <w:highlight w:val="none"/>
        </w:rPr>
        <w:t>；</w:t>
      </w:r>
    </w:p>
    <w:p w14:paraId="05E0587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二</w:t>
      </w:r>
      <w:r>
        <w:rPr>
          <w:rFonts w:hint="eastAsia" w:ascii="宋体" w:hAnsi="宋体" w:cs="宋体"/>
          <w:sz w:val="24"/>
          <w:highlight w:val="none"/>
          <w:lang w:eastAsia="zh-CN"/>
        </w:rPr>
        <w:t>）</w:t>
      </w:r>
      <w:r>
        <w:rPr>
          <w:rFonts w:hint="eastAsia" w:ascii="宋体" w:hAnsi="宋体" w:cs="宋体"/>
          <w:sz w:val="24"/>
          <w:highlight w:val="none"/>
        </w:rPr>
        <w:t>乙方投标文件</w:t>
      </w:r>
      <w:r>
        <w:rPr>
          <w:rFonts w:hint="eastAsia" w:ascii="宋体" w:hAnsi="宋体" w:cs="仿宋_GB2312"/>
          <w:kern w:val="0"/>
          <w:sz w:val="24"/>
          <w:highlight w:val="none"/>
        </w:rPr>
        <w:t>；</w:t>
      </w:r>
    </w:p>
    <w:p w14:paraId="0A346A0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三</w:t>
      </w:r>
      <w:r>
        <w:rPr>
          <w:rFonts w:hint="eastAsia" w:ascii="宋体" w:hAnsi="宋体" w:cs="宋体"/>
          <w:sz w:val="24"/>
          <w:highlight w:val="none"/>
          <w:lang w:eastAsia="zh-CN"/>
        </w:rPr>
        <w:t>）</w:t>
      </w:r>
      <w:r>
        <w:rPr>
          <w:rFonts w:hint="eastAsia" w:ascii="宋体" w:hAnsi="宋体" w:cs="宋体"/>
          <w:sz w:val="24"/>
          <w:highlight w:val="none"/>
        </w:rPr>
        <w:t>合同条款</w:t>
      </w:r>
      <w:r>
        <w:rPr>
          <w:rFonts w:hint="eastAsia" w:ascii="宋体" w:hAnsi="宋体" w:cs="仿宋_GB2312"/>
          <w:kern w:val="0"/>
          <w:sz w:val="24"/>
          <w:highlight w:val="none"/>
        </w:rPr>
        <w:t>；</w:t>
      </w:r>
    </w:p>
    <w:p w14:paraId="4645F6B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四</w:t>
      </w:r>
      <w:r>
        <w:rPr>
          <w:rFonts w:hint="eastAsia" w:ascii="宋体" w:hAnsi="宋体" w:cs="宋体"/>
          <w:sz w:val="24"/>
          <w:highlight w:val="none"/>
          <w:lang w:eastAsia="zh-CN"/>
        </w:rPr>
        <w:t>）</w:t>
      </w:r>
      <w:r>
        <w:rPr>
          <w:rFonts w:hint="eastAsia" w:ascii="宋体" w:hAnsi="宋体" w:cs="宋体"/>
          <w:sz w:val="24"/>
          <w:highlight w:val="none"/>
        </w:rPr>
        <w:t>乙方在评审过程中做出的澄清、承诺或者补正文件</w:t>
      </w:r>
      <w:r>
        <w:rPr>
          <w:rFonts w:hint="eastAsia" w:ascii="宋体" w:hAnsi="宋体" w:cs="仿宋_GB2312"/>
          <w:kern w:val="0"/>
          <w:sz w:val="24"/>
          <w:highlight w:val="none"/>
        </w:rPr>
        <w:t>；</w:t>
      </w:r>
    </w:p>
    <w:p w14:paraId="6A88CA0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五</w:t>
      </w:r>
      <w:r>
        <w:rPr>
          <w:rFonts w:hint="eastAsia" w:ascii="宋体" w:hAnsi="宋体" w:cs="宋体"/>
          <w:sz w:val="24"/>
          <w:highlight w:val="none"/>
          <w:lang w:eastAsia="zh-CN"/>
        </w:rPr>
        <w:t>）</w:t>
      </w:r>
      <w:r>
        <w:rPr>
          <w:rFonts w:hint="eastAsia" w:ascii="宋体" w:hAnsi="宋体" w:cs="宋体"/>
          <w:sz w:val="24"/>
          <w:highlight w:val="none"/>
        </w:rPr>
        <w:t>中标通知书</w:t>
      </w:r>
      <w:r>
        <w:rPr>
          <w:rFonts w:hint="eastAsia" w:ascii="宋体" w:hAnsi="宋体" w:cs="仿宋_GB2312"/>
          <w:kern w:val="0"/>
          <w:sz w:val="24"/>
          <w:highlight w:val="none"/>
        </w:rPr>
        <w:t>；</w:t>
      </w:r>
    </w:p>
    <w:p w14:paraId="68F41C6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六</w:t>
      </w:r>
      <w:r>
        <w:rPr>
          <w:rFonts w:hint="eastAsia" w:ascii="宋体" w:hAnsi="宋体" w:cs="宋体"/>
          <w:sz w:val="24"/>
          <w:highlight w:val="none"/>
          <w:lang w:eastAsia="zh-CN"/>
        </w:rPr>
        <w:t>）</w:t>
      </w:r>
      <w:r>
        <w:rPr>
          <w:rFonts w:hint="eastAsia" w:ascii="宋体" w:hAnsi="宋体" w:cs="宋体"/>
          <w:sz w:val="24"/>
          <w:highlight w:val="none"/>
        </w:rPr>
        <w:t>本合同附件</w:t>
      </w:r>
      <w:r>
        <w:rPr>
          <w:rFonts w:hint="eastAsia" w:ascii="宋体" w:hAnsi="宋体" w:cs="仿宋_GB2312"/>
          <w:kern w:val="0"/>
          <w:sz w:val="24"/>
          <w:highlight w:val="none"/>
        </w:rPr>
        <w:t>；</w:t>
      </w:r>
    </w:p>
    <w:p w14:paraId="2170BCC9">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七</w:t>
      </w:r>
      <w:r>
        <w:rPr>
          <w:rFonts w:hint="eastAsia" w:ascii="宋体" w:hAnsi="宋体" w:eastAsia="宋体" w:cs="宋体"/>
          <w:sz w:val="24"/>
          <w:highlight w:val="none"/>
          <w:lang w:eastAsia="zh-CN"/>
        </w:rPr>
        <w:t>）</w:t>
      </w:r>
      <w:r>
        <w:rPr>
          <w:rFonts w:hint="eastAsia" w:ascii="宋体" w:hAnsi="宋体" w:cs="仿宋_GB2312"/>
          <w:kern w:val="0"/>
          <w:sz w:val="24"/>
          <w:highlight w:val="none"/>
        </w:rPr>
        <w:t>其他合同文件。</w:t>
      </w:r>
    </w:p>
    <w:p w14:paraId="656E4C95">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二、合同的范围和条件</w:t>
      </w:r>
    </w:p>
    <w:p w14:paraId="41493EF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本合同的范围和条件应与上述合同文件的规定相一致。</w:t>
      </w:r>
    </w:p>
    <w:p w14:paraId="3B6403BB">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三、服务期限、地点</w:t>
      </w:r>
    </w:p>
    <w:p w14:paraId="17580F7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1、本项目服务期一年。</w:t>
      </w:r>
      <w:r>
        <w:rPr>
          <w:rFonts w:hint="eastAsia" w:ascii="宋体" w:hAnsi="宋体" w:eastAsia="宋体" w:cs="宋体"/>
          <w:sz w:val="24"/>
          <w:highlight w:val="none"/>
          <w:lang w:val="en-US" w:eastAsia="zh-CN"/>
        </w:rPr>
        <w:t>甲方</w:t>
      </w:r>
      <w:r>
        <w:rPr>
          <w:rFonts w:hint="eastAsia" w:ascii="宋体" w:hAnsi="宋体" w:cs="宋体"/>
          <w:sz w:val="24"/>
          <w:highlight w:val="none"/>
        </w:rPr>
        <w:t>分别在每个合同期结束前一个月根据合同执行情况按照考核办法规定进行综合考核评定，考核合格后方可续签订下一年度合同（或重新组织采购）。</w:t>
      </w:r>
    </w:p>
    <w:p w14:paraId="51BAA78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2、交付时间：</w:t>
      </w:r>
      <w:r>
        <w:rPr>
          <w:rFonts w:hint="eastAsia" w:ascii="宋体" w:hAnsi="宋体" w:eastAsia="宋体" w:cs="宋体"/>
          <w:sz w:val="24"/>
          <w:highlight w:val="none"/>
          <w:lang w:val="en-US" w:eastAsia="zh-CN"/>
        </w:rPr>
        <w:t>乙方</w:t>
      </w:r>
      <w:r>
        <w:rPr>
          <w:rFonts w:hint="eastAsia" w:ascii="宋体" w:hAnsi="宋体" w:cs="宋体"/>
          <w:sz w:val="24"/>
          <w:highlight w:val="none"/>
        </w:rPr>
        <w:t>须及时完成食堂饮食供应的各项准备工作，确保正常供餐。</w:t>
      </w:r>
    </w:p>
    <w:p w14:paraId="36CEC1B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w:t>
      </w:r>
      <w:r>
        <w:rPr>
          <w:rFonts w:hint="eastAsia" w:ascii="宋体" w:hAnsi="宋体" w:eastAsia="宋体" w:cs="宋体"/>
          <w:sz w:val="24"/>
          <w:highlight w:val="none"/>
          <w:lang w:val="en-US" w:eastAsia="zh-CN"/>
        </w:rPr>
        <w:t>交付</w:t>
      </w:r>
      <w:r>
        <w:rPr>
          <w:rFonts w:hint="eastAsia" w:ascii="宋体" w:hAnsi="宋体" w:cs="宋体"/>
          <w:sz w:val="24"/>
          <w:highlight w:val="none"/>
        </w:rPr>
        <w:t>地点：</w:t>
      </w:r>
    </w:p>
    <w:p w14:paraId="2B94F54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3、合同起止时间：</w:t>
      </w:r>
    </w:p>
    <w:p w14:paraId="599E0012">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四、履约保证金</w:t>
      </w:r>
    </w:p>
    <w:p w14:paraId="465006E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1.自中标（成交）公告发布之日起5日内，</w:t>
      </w:r>
      <w:r>
        <w:rPr>
          <w:rFonts w:hint="eastAsia" w:ascii="宋体" w:hAnsi="宋体" w:eastAsia="宋体" w:cs="宋体"/>
          <w:sz w:val="24"/>
          <w:highlight w:val="none"/>
          <w:lang w:val="en-US" w:eastAsia="zh-CN"/>
        </w:rPr>
        <w:t>乙方</w:t>
      </w:r>
      <w:r>
        <w:rPr>
          <w:rFonts w:hint="eastAsia" w:ascii="宋体" w:hAnsi="宋体" w:cs="宋体"/>
          <w:sz w:val="24"/>
          <w:highlight w:val="none"/>
        </w:rPr>
        <w:t>向</w:t>
      </w:r>
      <w:r>
        <w:rPr>
          <w:rFonts w:hint="eastAsia" w:ascii="宋体" w:hAnsi="宋体" w:eastAsia="宋体" w:cs="宋体"/>
          <w:sz w:val="24"/>
          <w:highlight w:val="none"/>
          <w:lang w:val="en-US" w:eastAsia="zh-CN"/>
        </w:rPr>
        <w:t>甲方</w:t>
      </w:r>
      <w:r>
        <w:rPr>
          <w:rFonts w:hint="eastAsia" w:ascii="宋体" w:hAnsi="宋体" w:cs="宋体"/>
          <w:sz w:val="24"/>
          <w:highlight w:val="none"/>
        </w:rPr>
        <w:t>一次性交付合同金额的5%（如</w:t>
      </w:r>
      <w:r>
        <w:rPr>
          <w:rFonts w:hint="eastAsia" w:ascii="宋体" w:hAnsi="宋体" w:eastAsia="宋体" w:cs="宋体"/>
          <w:sz w:val="24"/>
          <w:highlight w:val="none"/>
          <w:lang w:val="en-US" w:eastAsia="zh-CN"/>
        </w:rPr>
        <w:t>乙方</w:t>
      </w:r>
      <w:r>
        <w:rPr>
          <w:rFonts w:hint="eastAsia" w:ascii="宋体" w:hAnsi="宋体" w:cs="宋体"/>
          <w:sz w:val="24"/>
          <w:highlight w:val="none"/>
        </w:rPr>
        <w:t>是中小企业收取比例为2%）的履约保证金；逾期未交至</w:t>
      </w:r>
      <w:r>
        <w:rPr>
          <w:rFonts w:hint="eastAsia" w:ascii="宋体" w:hAnsi="宋体" w:eastAsia="宋体" w:cs="宋体"/>
          <w:sz w:val="24"/>
          <w:highlight w:val="none"/>
          <w:lang w:val="en-US" w:eastAsia="zh-CN"/>
        </w:rPr>
        <w:t>甲方</w:t>
      </w:r>
      <w:r>
        <w:rPr>
          <w:rFonts w:hint="eastAsia" w:ascii="宋体" w:hAnsi="宋体" w:cs="宋体"/>
          <w:sz w:val="24"/>
          <w:highlight w:val="none"/>
        </w:rPr>
        <w:t>指定账户的，视为自动放弃中标资格，并承担因此对</w:t>
      </w:r>
      <w:r>
        <w:rPr>
          <w:rFonts w:hint="eastAsia" w:ascii="宋体" w:hAnsi="宋体" w:eastAsia="宋体" w:cs="宋体"/>
          <w:sz w:val="24"/>
          <w:highlight w:val="none"/>
          <w:lang w:val="en-US" w:eastAsia="zh-CN"/>
        </w:rPr>
        <w:t>甲方</w:t>
      </w:r>
      <w:r>
        <w:rPr>
          <w:rFonts w:hint="eastAsia" w:ascii="宋体" w:hAnsi="宋体" w:cs="宋体"/>
          <w:sz w:val="24"/>
          <w:highlight w:val="none"/>
        </w:rPr>
        <w:t>造成的损失。</w:t>
      </w:r>
    </w:p>
    <w:p w14:paraId="5B725BD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2.若</w:t>
      </w:r>
      <w:r>
        <w:rPr>
          <w:rFonts w:hint="eastAsia" w:ascii="宋体" w:hAnsi="宋体" w:eastAsia="宋体" w:cs="宋体"/>
          <w:sz w:val="24"/>
          <w:highlight w:val="none"/>
          <w:lang w:val="en-US" w:eastAsia="zh-CN"/>
        </w:rPr>
        <w:t>乙方</w:t>
      </w:r>
      <w:r>
        <w:rPr>
          <w:rFonts w:hint="eastAsia" w:ascii="宋体" w:hAnsi="宋体" w:cs="宋体"/>
          <w:sz w:val="24"/>
          <w:highlight w:val="none"/>
        </w:rPr>
        <w:t>在合同期内无违约违规行为，期满后履约保证金全额无息返还。若</w:t>
      </w:r>
      <w:r>
        <w:rPr>
          <w:rFonts w:hint="eastAsia" w:ascii="宋体" w:hAnsi="宋体" w:eastAsia="宋体" w:cs="宋体"/>
          <w:sz w:val="24"/>
          <w:highlight w:val="none"/>
          <w:lang w:val="en-US" w:eastAsia="zh-CN"/>
        </w:rPr>
        <w:t>乙方</w:t>
      </w:r>
      <w:r>
        <w:rPr>
          <w:rFonts w:hint="eastAsia" w:ascii="宋体" w:hAnsi="宋体" w:cs="宋体"/>
          <w:sz w:val="24"/>
          <w:highlight w:val="none"/>
        </w:rPr>
        <w:t>在合同期内因未履行本合同约定的各种事项被</w:t>
      </w:r>
      <w:r>
        <w:rPr>
          <w:rFonts w:hint="eastAsia" w:ascii="宋体" w:hAnsi="宋体" w:eastAsia="宋体" w:cs="宋体"/>
          <w:sz w:val="24"/>
          <w:highlight w:val="none"/>
          <w:lang w:val="en-US" w:eastAsia="zh-CN"/>
        </w:rPr>
        <w:t>甲方</w:t>
      </w:r>
      <w:r>
        <w:rPr>
          <w:rFonts w:hint="eastAsia" w:ascii="宋体" w:hAnsi="宋体" w:cs="宋体"/>
          <w:sz w:val="24"/>
          <w:highlight w:val="none"/>
        </w:rPr>
        <w:t>扣减履约保证金,</w:t>
      </w:r>
      <w:r>
        <w:rPr>
          <w:rFonts w:hint="eastAsia" w:ascii="宋体" w:hAnsi="宋体" w:eastAsia="宋体" w:cs="宋体"/>
          <w:sz w:val="24"/>
          <w:highlight w:val="none"/>
          <w:lang w:val="en-US" w:eastAsia="zh-CN"/>
        </w:rPr>
        <w:t>乙方</w:t>
      </w:r>
      <w:r>
        <w:rPr>
          <w:rFonts w:hint="eastAsia" w:ascii="宋体" w:hAnsi="宋体" w:cs="宋体"/>
          <w:sz w:val="24"/>
          <w:highlight w:val="none"/>
        </w:rPr>
        <w:t>应在</w:t>
      </w:r>
      <w:r>
        <w:rPr>
          <w:rFonts w:hint="eastAsia" w:ascii="宋体" w:hAnsi="宋体" w:eastAsia="宋体" w:cs="宋体"/>
          <w:sz w:val="24"/>
          <w:highlight w:val="none"/>
          <w:lang w:val="en-US" w:eastAsia="zh-CN"/>
        </w:rPr>
        <w:t>甲方</w:t>
      </w:r>
      <w:r>
        <w:rPr>
          <w:rFonts w:hint="eastAsia" w:ascii="宋体" w:hAnsi="宋体" w:cs="宋体"/>
          <w:sz w:val="24"/>
          <w:highlight w:val="none"/>
        </w:rPr>
        <w:t>扣减履约保证金的1个月之内补齐差额，否则，</w:t>
      </w:r>
      <w:r>
        <w:rPr>
          <w:rFonts w:hint="eastAsia" w:ascii="宋体" w:hAnsi="宋体" w:eastAsia="宋体" w:cs="宋体"/>
          <w:sz w:val="24"/>
          <w:highlight w:val="none"/>
          <w:lang w:val="en-US" w:eastAsia="zh-CN"/>
        </w:rPr>
        <w:t>甲方</w:t>
      </w:r>
      <w:r>
        <w:rPr>
          <w:rFonts w:hint="eastAsia" w:ascii="宋体" w:hAnsi="宋体" w:cs="宋体"/>
          <w:sz w:val="24"/>
          <w:highlight w:val="none"/>
        </w:rPr>
        <w:t>有权解除合同，</w:t>
      </w:r>
      <w:r>
        <w:rPr>
          <w:rFonts w:hint="eastAsia" w:ascii="宋体" w:hAnsi="宋体" w:eastAsia="宋体" w:cs="宋体"/>
          <w:sz w:val="24"/>
          <w:highlight w:val="none"/>
          <w:lang w:val="en-US" w:eastAsia="zh-CN"/>
        </w:rPr>
        <w:t>乙方</w:t>
      </w:r>
      <w:r>
        <w:rPr>
          <w:rFonts w:hint="eastAsia" w:ascii="宋体" w:hAnsi="宋体" w:cs="宋体"/>
          <w:sz w:val="24"/>
          <w:highlight w:val="none"/>
        </w:rPr>
        <w:t>承担相应违约责任。</w:t>
      </w:r>
    </w:p>
    <w:p w14:paraId="17D17DB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3.履约保证金形式：</w:t>
      </w:r>
    </w:p>
    <w:p w14:paraId="2EFF410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4.履约保证金缴纳信息：开户单位：山东第一医科大学；开户银行：中国农业银行股份有限公司济南槐荫支行；账号：15126101040096666。</w:t>
      </w:r>
    </w:p>
    <w:p w14:paraId="190DC555">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五、项目</w:t>
      </w:r>
      <w:r>
        <w:rPr>
          <w:rFonts w:hint="eastAsia" w:ascii="宋体" w:hAnsi="宋体" w:eastAsia="宋体" w:cs="宋体"/>
          <w:b/>
          <w:bCs/>
          <w:sz w:val="24"/>
          <w:highlight w:val="none"/>
          <w:lang w:val="en-US" w:eastAsia="zh-CN"/>
        </w:rPr>
        <w:t>服务</w:t>
      </w:r>
      <w:r>
        <w:rPr>
          <w:rFonts w:hint="eastAsia" w:ascii="宋体" w:hAnsi="宋体" w:cs="宋体"/>
          <w:b/>
          <w:bCs/>
          <w:sz w:val="24"/>
          <w:highlight w:val="none"/>
        </w:rPr>
        <w:t>要求</w:t>
      </w:r>
    </w:p>
    <w:p w14:paraId="05466499">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1.服务承诺</w:t>
      </w:r>
    </w:p>
    <w:p w14:paraId="6DB10AE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（1）近三年经营过程中无群体性食物中毒、卫生、防疫等食品安全事故；无食品安全或学校罢餐及其他较大责任事故记录（承诺函详见合同附件）</w:t>
      </w:r>
    </w:p>
    <w:p w14:paraId="1D79EF5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（2）提供完全接受甲方管理、承担经营风险、优质文明服务的承诺（详见合同附件）</w:t>
      </w:r>
    </w:p>
    <w:p w14:paraId="033DEEB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（3）提供配合师生满意度调研、师生意见建议整改措施的承诺（详见合同附件）</w:t>
      </w:r>
    </w:p>
    <w:p w14:paraId="69E4DF91">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2.服务要求</w:t>
      </w:r>
    </w:p>
    <w:p w14:paraId="296DAC2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服务定位及需求</w:t>
      </w:r>
    </w:p>
    <w:p w14:paraId="2F2CF8D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根据</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餐饮布局和大众化学生需求，突出食堂办伙公益性，保证食堂的早餐、午餐、晚餐正常开伙，满足就餐师生的用餐需求，寒暑假及节假日根据</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的安排进行供餐。</w:t>
      </w:r>
    </w:p>
    <w:p w14:paraId="3257ED5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提供专业化服务，充分发挥餐饮</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专业团队优势、技术优势、安全管理经验，满足本项目的饮食保障和需求，按照</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要求完成</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各项考核指标，服从</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管理。</w:t>
      </w:r>
    </w:p>
    <w:p w14:paraId="698C58D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协助</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进行成本控制</w:t>
      </w:r>
    </w:p>
    <w:p w14:paraId="111765E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本项目食堂经营服务总成本包括原材料(主辅料和调料）成本、动力(水电气等)成本、人员经费、办公费、维护维修费、餐用具购置费等，不包括食堂房屋建筑物及</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投入的大型设施设备折旧。</w:t>
      </w:r>
    </w:p>
    <w:p w14:paraId="0ACF65B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所有财务活动纳入</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财务部门统一管理，收支全部纳入</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财务账户核算。</w:t>
      </w:r>
    </w:p>
    <w:p w14:paraId="07D7BA0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指定食堂消费支付和结算方式，严禁使用</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指定以外的任何收费方式。</w:t>
      </w:r>
    </w:p>
    <w:p w14:paraId="594CEDD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应采取足够有效的措施协助</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合理控制食堂成本，各项成本控制比例符合规定，主动接受</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的监督、检查及业务指导。</w:t>
      </w:r>
    </w:p>
    <w:p w14:paraId="147E273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学生食堂毛利率须控制在48%以内。毛利率计算方法：毛利率=（当月营业收入-当月原材料(主辅料和调料）的实际消耗）/当月营业收入*100%；原材料(主辅料和调料）的实际消耗=期初库存+当期入库-期末库存。</w:t>
      </w:r>
    </w:p>
    <w:p w14:paraId="6A4B614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费用结算</w:t>
      </w:r>
    </w:p>
    <w:p w14:paraId="320AA8D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收款方式：乙方使用甲方统一提供的一卡通或移动支付平台进行售饭服务，未经许可严禁收取现金或以企业及个人账号收费；按月结算，如遇特殊情况另行通知。</w:t>
      </w:r>
    </w:p>
    <w:p w14:paraId="21B494A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毛利内各类费用，由甲方按照以下顺序支付：</w:t>
      </w:r>
    </w:p>
    <w:p w14:paraId="72FB725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①乙方餐饮企业服务费,甲方每月</w:t>
      </w:r>
      <w:r>
        <w:rPr>
          <w:rFonts w:hint="eastAsia" w:ascii="宋体" w:hAnsi="宋体" w:eastAsia="宋体" w:cs="宋体"/>
          <w:color w:val="000000" w:themeColor="text1"/>
          <w:sz w:val="24"/>
          <w:highlight w:val="none"/>
          <w:lang w:val="en-US" w:eastAsia="zh-CN"/>
          <w14:textFill>
            <w14:solidFill>
              <w14:schemeClr w14:val="tx1"/>
            </w14:solidFill>
          </w14:textFill>
        </w:rPr>
        <w:t>按照中标价</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当月营业额的</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支付给乙方。食堂一线从业人员全部由乙方聘用，且在食堂内从事各岗位工作。该项经费包括人员工资奖金费用、社会保险费用、意外伤害保险、各类福利等，具体发放细则由乙方自行决定。</w:t>
      </w:r>
    </w:p>
    <w:p w14:paraId="02ECF8D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②原材料成本按当月营业额的</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核定。相关费用由甲方根据实际采购情况直接支付给原材料</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。乙方应负责确保食材的质量、安全和数量满足学生的用餐需求。如原材料当月实际支出超出当月营业额的</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的，超出部分将由甲方从应支付乙方餐饮企业服务费中直接扣减；如原材料当月实际支出低于当月营业额</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的，结余部分归甲方所有，将由甲方直接纳入甲方食堂管理基金或物价平抑基金统一管理使用。</w:t>
      </w:r>
    </w:p>
    <w:p w14:paraId="3A2F2EE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③食堂当月动力成本费用</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当月营业额的5%</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由乙方提取。甲方从中据实扣减乙方当月的水电费，代扣代缴后的余额部分向乙方支付，乙方自行支付燃气费等。对于动力成本低于5%的节省部分，将归属于餐饮服务单位，以示对其节能降耗行为的激励；若动力成本超出当月营业额的5%,乙方不能自行缴纳的，则超出部分将由甲方从任何应支付乙方的餐饮企业服务费中予以扣除。</w:t>
      </w:r>
    </w:p>
    <w:p w14:paraId="1D9BC20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④乙方食堂维修维护、办公费及日消耗费用等费用按当月营业额的4%计提，甲方每6个月向乙方拨付一次。该费用包括但不限于食堂运营所需设备设施的维护、维修、保养、更新、餐用具购置费、日常运营消耗支出、低耗物资费用及必要的装修装饰美化等相关费用，乙方可在该费用额度内自主安排以上各项支出，超支部分由乙方自行承担。若乙方未履行、未全部履行设备设施维护、保养、更新，或者维修、保养等不符合相关规定和甲方的要求的，经甲方督促后仍未整改的，甲方为保证食堂安全稳定运行，甲方有权自行或者委托第三方采取强制维修措施，由此产生的全部费用由乙方承担，甲方将从应支付乙方的食堂维修维护、办公费及日消耗费用等费用中直接扣除</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如不足抵扣，甲方将从任何应支付乙方餐饮企业服务费中直接扣除。</w:t>
      </w:r>
    </w:p>
    <w:p w14:paraId="1A16BCB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⑤甲方招聘管理辅助人员经费</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由甲方直接支付相关人员</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、当月考核奖惩费用</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上述两项费用总额按照当月营业额的2%核算</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p>
    <w:p w14:paraId="612C018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3.伙食结构要求</w:t>
      </w:r>
    </w:p>
    <w:p w14:paraId="105CBF7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基本大伙说明。食堂基本大伙高、中、低价位的菜品搭配合理，低价菜（2元以下）所占比例不得低于20%。用餐高峰期间，菜品需保持在40个品种以上（不含小咸菜），各式面食品种须保持在20个以上；稀饭汤类品种不少于8个。早餐品种面食类不少于20个品种；稀饭汤类不少于8个品种。早餐须提供免费咸菜，午、晚餐须提供免费汤品，免费汤品要专人操作，做到人在桶在，人走桶收。</w:t>
      </w:r>
    </w:p>
    <w:p w14:paraId="04463A6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（2）特色窗口说明。设有特色窗口，</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需按要求提供特色窗口从业人员。</w:t>
      </w:r>
    </w:p>
    <w:p w14:paraId="001A584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（3）饭菜结构说明。每餐配置的高、中、低价菜肴品种比例约为4:4:2，每份菜肴净重300克左右，可售半份菜或拼菜。</w:t>
      </w:r>
    </w:p>
    <w:p w14:paraId="6DD3DFF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4.食品原材料要求</w:t>
      </w:r>
    </w:p>
    <w:p w14:paraId="02A352D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进入食堂的食品原料由</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集中统一采购，双方指定专人做好验收、索证索票及出入库管理工作，</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对食堂的食品原材料管理实行全程监管，</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私自采购或使用非</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许可的食品原材料，</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将根据相关制度予以处罚。</w:t>
      </w:r>
    </w:p>
    <w:p w14:paraId="07A1C35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5.设备设施管理要求</w:t>
      </w:r>
    </w:p>
    <w:p w14:paraId="1D7012D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现有食堂建筑、燃气管路、电路、上下水、暖气、一卡通收费系统、监控系统均可满足食堂开伙的使用，且为正在经营的食堂。</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在</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提供的设施设备基础上，根据自身运营的需要可进行合理调整，方案需提前书面报</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，审核批准后方可实施，相关费用由</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自行承担。</w:t>
      </w:r>
    </w:p>
    <w:p w14:paraId="4A9E29F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提供的设备设施产权归属于</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接收资产后负责建账、日常使用、维修和管理，使用过程如有损毁由</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负责维修或赔偿，并承担相关费用；每学期末，由</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和</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共同对照清单进行盘点，由</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向</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提交每学期资产清单报告；服务期满，</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按照清单交回的设备设施，须保证可正常使用，未能正常使用或缺失的，由</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负责赔偿。</w:t>
      </w:r>
    </w:p>
    <w:p w14:paraId="492310A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6.用工要求</w:t>
      </w:r>
    </w:p>
    <w:p w14:paraId="0FAC5CD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保证所有从业人员遵纪守法，严格遵守</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相关规章制度，并完成布置的各项任务。</w:t>
      </w:r>
    </w:p>
    <w:p w14:paraId="35DE3E0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（2）食堂工作人员由</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负责招聘和管理，</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有权对食堂用工情况进行监督和检查。</w:t>
      </w:r>
    </w:p>
    <w:p w14:paraId="17977E7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所有从业人员必须持有有效的身份证、健康证等，且无违法犯罪记录，严格遵守个人卫生制度，具有良好的个人卫生习惯。杜绝无证人员上岗。</w:t>
      </w:r>
    </w:p>
    <w:p w14:paraId="25A2AD9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针对本项目：龙山厅提供</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w:t>
      </w:r>
      <w:r>
        <w:rPr>
          <w:rFonts w:hint="eastAsia" w:ascii="宋体" w:hAnsi="宋体" w:eastAsia="宋体" w:cs="宋体"/>
          <w:color w:val="000000" w:themeColor="text1"/>
          <w:sz w:val="24"/>
          <w:highlight w:val="none"/>
          <w:lang w:val="en-US" w:eastAsia="zh-CN"/>
          <w14:textFill>
            <w14:solidFill>
              <w14:schemeClr w14:val="tx1"/>
            </w14:solidFill>
          </w14:textFill>
        </w:rPr>
        <w:t>人员配备情况详见合同附件</w:t>
      </w:r>
      <w:r>
        <w:rPr>
          <w:rFonts w:hint="eastAsia" w:ascii="宋体" w:hAnsi="宋体" w:cs="宋体"/>
          <w:color w:val="000000" w:themeColor="text1"/>
          <w:sz w:val="24"/>
          <w:highlight w:val="none"/>
          <w14:textFill>
            <w14:solidFill>
              <w14:schemeClr w14:val="tx1"/>
            </w14:solidFill>
          </w14:textFill>
        </w:rPr>
        <w:t>，配备的厨师等从业人员须满足本项目运营需求。</w:t>
      </w:r>
    </w:p>
    <w:p w14:paraId="47632D6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派驻项目负责人全面负责餐饮经营服务，项目负责人在合同期内未经</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同意不得更换；</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有权要求更换不合格的项目负责人。</w:t>
      </w:r>
    </w:p>
    <w:p w14:paraId="0477E1C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（6）本项目配备厨师、营养师及负责人未经</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同意，不得擅自更换。</w:t>
      </w:r>
    </w:p>
    <w:p w14:paraId="16B7558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（7）食堂负责人外出2天以上需请假并报</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管理部门备案。</w:t>
      </w:r>
    </w:p>
    <w:p w14:paraId="5AA943C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自行承担劳务纠纷的处理等相关经济和法律责任。</w:t>
      </w:r>
    </w:p>
    <w:p w14:paraId="6B56A36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要对员工的思想道德、业务素质、安全健康等进行全面管理，所有人员应规范服务操作程序，做到文明用语、礼貌服务，特别是要尊重少数民族的饮食习惯。</w:t>
      </w:r>
    </w:p>
    <w:p w14:paraId="085A30F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lang w:eastAsia="zh-CN"/>
          <w14:textFill>
            <w14:solidFill>
              <w14:schemeClr w14:val="tx1"/>
            </w14:solidFill>
          </w14:textFill>
        </w:rPr>
        <w:t>）乙方须按照国家有关规定按时为聘任人员发放工资待遇（不低于项目所在地最低工资标准）、缴纳社保等，不得拖欠（承诺函</w:t>
      </w:r>
      <w:r>
        <w:rPr>
          <w:rFonts w:hint="eastAsia" w:ascii="宋体" w:hAnsi="宋体" w:eastAsia="宋体" w:cs="宋体"/>
          <w:color w:val="000000" w:themeColor="text1"/>
          <w:sz w:val="24"/>
          <w:highlight w:val="none"/>
          <w:lang w:val="en-US" w:eastAsia="zh-CN"/>
          <w14:textFill>
            <w14:solidFill>
              <w14:schemeClr w14:val="tx1"/>
            </w14:solidFill>
          </w14:textFill>
        </w:rPr>
        <w:t>详见合同附件</w:t>
      </w:r>
      <w:r>
        <w:rPr>
          <w:rFonts w:hint="eastAsia" w:ascii="宋体" w:hAnsi="宋体" w:eastAsia="宋体" w:cs="宋体"/>
          <w:color w:val="000000" w:themeColor="text1"/>
          <w:sz w:val="24"/>
          <w:highlight w:val="none"/>
          <w:lang w:eastAsia="zh-CN"/>
          <w14:textFill>
            <w14:solidFill>
              <w14:schemeClr w14:val="tx1"/>
            </w14:solidFill>
          </w14:textFill>
        </w:rPr>
        <w:t>）</w:t>
      </w:r>
    </w:p>
    <w:p w14:paraId="33BA2CF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7.运营管理要求</w:t>
      </w:r>
    </w:p>
    <w:p w14:paraId="4587943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严格按照经营范围规范经营，严格按照双方的约定提供服务。</w:t>
      </w:r>
    </w:p>
    <w:p w14:paraId="763AAF9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严格遵守《中华人民共和国食品安全法》等法律法规及上级有关文件规定。</w:t>
      </w:r>
    </w:p>
    <w:p w14:paraId="4898E29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须严格遵守</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相关管理规定。</w:t>
      </w:r>
    </w:p>
    <w:p w14:paraId="4143B4B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须建立健全内部管理体系，完善内部运行机制，加强内部管理，规范各项工作。在节假日和</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 xml:space="preserve">重大活动期间，要积极配合开展必要的让利或公益活动。 </w:t>
      </w:r>
    </w:p>
    <w:p w14:paraId="3AD062A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须积极接受上级主管部门和</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有关部门的监督检查，严格落实整改要求，对整改建议拒不执行的，</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有权扣除履约保证金或终止服务合同。</w:t>
      </w:r>
    </w:p>
    <w:p w14:paraId="709C7D0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6</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须积极配合各项测评活动，并根据测评意见及时改进工作中的不足之处。测评满意度连续二次达不到85%或对测评整改建议拒不执行的，</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有权扣除履约保证金或终止服务合同。测评满意度达不到80%的，直接终止服务合同。</w:t>
      </w:r>
    </w:p>
    <w:p w14:paraId="5618B7B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7</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不得进行同行恶性竞争，不得与食材供货商存在不当交易，一经查实，</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有权终止服务合同，并追究相应法律责任。</w:t>
      </w:r>
    </w:p>
    <w:p w14:paraId="1DDDD28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负责食堂食品安全、卫生、防火、防盗等，对相应工作负有直接的组织和管理义务。必须自行做好安全、防盗、防火和食品卫生等工作，如发生失窃、火灾、食品安全等事故，造成的一切损失由</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负全部责任，并负责消除由此给</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带来的不利影响。</w:t>
      </w:r>
    </w:p>
    <w:p w14:paraId="71BB98F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除岗前培训、日常培训外，</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每学期应集中组织1～2次从业人员岗位业务培训，全年不低于40学时。</w:t>
      </w:r>
    </w:p>
    <w:p w14:paraId="243669E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应采取足够有效的措施合理控制成本，杜绝加工出售过程的浪费现象。每月提供当月经营核算报表，配合</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管理方开展当月经营核算情况的检查。</w:t>
      </w:r>
    </w:p>
    <w:p w14:paraId="7D66701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协助</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加强原材料的出入库管理，建立账册，严格核算食堂毛利，月底库存盘点须由</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参与并提交物资盘点表。</w:t>
      </w:r>
    </w:p>
    <w:p w14:paraId="469F71D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8.消防安全要求</w:t>
      </w:r>
    </w:p>
    <w:p w14:paraId="463E2BF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负责生产场所的消防安全工作，服从上级消防部门及</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相关职能部门的统一管理，确保消防安全无事故。配合各级消防安全检查，执行各级管理部门的消防安全整改意见，拒不执行的，</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有权给予处罚直至解除合同。</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积极配合</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取得相关许可证件。</w:t>
      </w:r>
    </w:p>
    <w:p w14:paraId="015D41B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工作人员熟练掌握消防安全知识和技能，并定期开展培训。</w:t>
      </w:r>
    </w:p>
    <w:p w14:paraId="7EDD0B9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应加强消防安全管理，不使用液化气罐等危险设施和烃基燃料、醇基燃料，不乱接、乱改燃气管路和用电线路，不违章违规操作。如确需改造须报</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申请获批后由专业人员实施作业。</w:t>
      </w:r>
    </w:p>
    <w:p w14:paraId="4DC1E84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须用具有相关资质人员定期对食堂油烟管路、排烟设备进行专业的清洗。</w:t>
      </w:r>
    </w:p>
    <w:p w14:paraId="30F2964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9.售后服务要求</w:t>
      </w:r>
    </w:p>
    <w:p w14:paraId="08772DB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应配合</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监管，在接到</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提出的任何问题或建议后，尽快给予明确答复，并在规定时间内完成问题的整改。</w:t>
      </w:r>
    </w:p>
    <w:p w14:paraId="04EEDB4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10.其他要求</w:t>
      </w:r>
    </w:p>
    <w:p w14:paraId="0270522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应遵守</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的规章制度，配合</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的管理和监督。</w:t>
      </w:r>
    </w:p>
    <w:p w14:paraId="3EDF748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负责做好从业人员的食宿安排和日常安全教育，严格遵守</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相关管理规定。</w:t>
      </w:r>
    </w:p>
    <w:p w14:paraId="1ACEE75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要配合</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物业管理单位共同遵守垃圾处理等相关规定。</w:t>
      </w:r>
    </w:p>
    <w:p w14:paraId="533AC74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须保证建筑物及装饰完好，不得改动建筑物承重结构，如因</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使用不当造成损坏的，由</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负责修复。</w:t>
      </w:r>
    </w:p>
    <w:p w14:paraId="419C70F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不允许私自转让或转包，否则</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有权解除合同。</w:t>
      </w:r>
    </w:p>
    <w:p w14:paraId="7C0D29F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应积极响应</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的号召，参与</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的各类活动，共同营造和谐、积极的校园文化氛围。</w:t>
      </w:r>
    </w:p>
    <w:p w14:paraId="69B737F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r>
        <w:rPr>
          <w:rFonts w:hint="eastAsia" w:ascii="宋体" w:hAnsi="宋体" w:eastAsia="宋体" w:cs="宋体"/>
          <w:color w:val="000000" w:themeColor="text1"/>
          <w:sz w:val="24"/>
          <w:highlight w:val="none"/>
          <w:lang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须针对本项目购买各类保险，如公共场所责任险、⻝品安全责任险、燃⽓安全险、“三防”险等。其中公共场所责任险、⻝品安全责任险均不少于2000万元（⼤写：⼈⺠币贰仟万元整）。</w:t>
      </w:r>
    </w:p>
    <w:p w14:paraId="505A1A43">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六、服务区域内资产交接、保管、修缮及装饰、美化</w:t>
      </w:r>
    </w:p>
    <w:p w14:paraId="29865DA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1、资产交接、保管</w:t>
      </w:r>
    </w:p>
    <w:p w14:paraId="0E95768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本合同签订之日起5个工作日内，双方进行经营区域内的资产</w:t>
      </w:r>
      <w:r>
        <w:rPr>
          <w:rFonts w:hint="eastAsia" w:ascii="宋体" w:hAnsi="宋体" w:cs="宋体"/>
          <w:sz w:val="24"/>
          <w:highlight w:val="none"/>
          <w:lang w:eastAsia="zh-CN"/>
        </w:rPr>
        <w:t>（</w:t>
      </w:r>
      <w:r>
        <w:rPr>
          <w:rFonts w:hint="eastAsia" w:ascii="宋体" w:hAnsi="宋体" w:cs="宋体"/>
          <w:sz w:val="24"/>
          <w:highlight w:val="none"/>
        </w:rPr>
        <w:t>动产和不动产</w:t>
      </w:r>
      <w:r>
        <w:rPr>
          <w:rFonts w:hint="eastAsia" w:ascii="宋体" w:hAnsi="宋体" w:cs="宋体"/>
          <w:sz w:val="24"/>
          <w:highlight w:val="none"/>
          <w:lang w:eastAsia="zh-CN"/>
        </w:rPr>
        <w:t>）</w:t>
      </w:r>
      <w:r>
        <w:rPr>
          <w:rFonts w:hint="eastAsia" w:ascii="宋体" w:hAnsi="宋体" w:cs="宋体"/>
          <w:sz w:val="24"/>
          <w:highlight w:val="none"/>
        </w:rPr>
        <w:t>清点，届时详列清单，双方签字后作为本合同的附件。乙方接收资产后负责建账、使用、维养和管理，使用过程如有损毁由乙方负责维修或赔偿，并承担相关费用；每学期末，由甲、乙双方共同对照清单进行盘点，乙方负责提供资产盘点报告；服务期满或解除的，乙方按照清单交回设备设施，未能正常使用或缺失的由乙方负责赔偿。</w:t>
      </w:r>
    </w:p>
    <w:p w14:paraId="6551A7C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2、修缮</w:t>
      </w:r>
    </w:p>
    <w:p w14:paraId="0424215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甲乙双方须定期对房屋进行检查和正常维修。包含管道维修改造、强弱电进户改造、水电气设备</w:t>
      </w:r>
      <w:r>
        <w:rPr>
          <w:rFonts w:hint="eastAsia" w:ascii="宋体" w:hAnsi="宋体" w:cs="宋体"/>
          <w:sz w:val="24"/>
          <w:highlight w:val="none"/>
          <w:lang w:eastAsia="zh-CN"/>
        </w:rPr>
        <w:t>（</w:t>
      </w:r>
      <w:r>
        <w:rPr>
          <w:rFonts w:hint="eastAsia" w:ascii="宋体" w:hAnsi="宋体" w:cs="宋体"/>
          <w:sz w:val="24"/>
          <w:highlight w:val="none"/>
        </w:rPr>
        <w:t>表内</w:t>
      </w:r>
      <w:r>
        <w:rPr>
          <w:rFonts w:hint="eastAsia" w:ascii="宋体" w:hAnsi="宋体" w:cs="宋体"/>
          <w:sz w:val="24"/>
          <w:highlight w:val="none"/>
          <w:lang w:eastAsia="zh-CN"/>
        </w:rPr>
        <w:t>）</w:t>
      </w:r>
      <w:r>
        <w:rPr>
          <w:rFonts w:hint="eastAsia" w:ascii="宋体" w:hAnsi="宋体" w:cs="宋体"/>
          <w:sz w:val="24"/>
          <w:highlight w:val="none"/>
        </w:rPr>
        <w:t>及其附属设施，单项维修费用在2万以下的，由乙方承担。如因乙方原因造成的房屋、设备设施损坏的，由乙方负责维修并承担全部费用。</w:t>
      </w:r>
    </w:p>
    <w:p w14:paraId="2F05AE2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3、装饰、美化</w:t>
      </w:r>
    </w:p>
    <w:p w14:paraId="1CBA443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乙方应保证食堂建筑物及装饰完好，不得改动建筑物承重结构，如因乙方使用不当等乙方原因造成损坏的，由乙方负责修复或赔偿。乙方如需对食堂进行装饰、美化等，需提前向甲方提交书面方案，经甲方书面同意后方可实施，相关费用由乙方承担。</w:t>
      </w:r>
    </w:p>
    <w:p w14:paraId="1250FF5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乙方对食堂所做的改造、装修及增设部分，合同终止</w:t>
      </w:r>
      <w:r>
        <w:rPr>
          <w:rFonts w:hint="eastAsia" w:ascii="宋体" w:hAnsi="宋体" w:cs="宋体"/>
          <w:sz w:val="24"/>
          <w:highlight w:val="none"/>
          <w:lang w:eastAsia="zh-CN"/>
        </w:rPr>
        <w:t>（</w:t>
      </w:r>
      <w:r>
        <w:rPr>
          <w:rFonts w:hint="eastAsia" w:ascii="宋体" w:hAnsi="宋体" w:cs="宋体"/>
          <w:sz w:val="24"/>
          <w:highlight w:val="none"/>
        </w:rPr>
        <w:t>无论何种原因</w:t>
      </w:r>
      <w:r>
        <w:rPr>
          <w:rFonts w:hint="eastAsia" w:ascii="宋体" w:hAnsi="宋体" w:cs="宋体"/>
          <w:sz w:val="24"/>
          <w:highlight w:val="none"/>
          <w:lang w:eastAsia="zh-CN"/>
        </w:rPr>
        <w:t>）</w:t>
      </w:r>
      <w:r>
        <w:rPr>
          <w:rFonts w:hint="eastAsia" w:ascii="宋体" w:hAnsi="宋体" w:cs="宋体"/>
          <w:sz w:val="24"/>
          <w:highlight w:val="none"/>
        </w:rPr>
        <w:t>时，无偿留给甲方，甲方不作任何补偿。</w:t>
      </w:r>
    </w:p>
    <w:p w14:paraId="5BCD311F">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七、甲方权利和义务</w:t>
      </w:r>
    </w:p>
    <w:p w14:paraId="35443F5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1、甲方与乙方共同办理《餐饮经营许可证》或《食品经营许可证》,相关费用由乙方承担。</w:t>
      </w:r>
    </w:p>
    <w:p w14:paraId="4143FC2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2、甲方提供满足服务所需水、电、天然气接入条件。</w:t>
      </w:r>
    </w:p>
    <w:p w14:paraId="7D927FF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3、甲方因建设或工作需要停水、停电，须提前通知乙方。</w:t>
      </w:r>
    </w:p>
    <w:p w14:paraId="4F34F68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4、甲方有义务教育学生文明、卫生、安全、礼貌用餐，并积极帮助乙方解决实际困难和协调内外关系，以保证学生食堂经营安全有序的进行。</w:t>
      </w:r>
    </w:p>
    <w:p w14:paraId="013C364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5、甲方有权按照《食品安全法》等法律法规和内部管理规定对乙方经营食堂的财务状况、经营状况、成本和利润、卫生状况、服务质量、饭菜品种和价格以及安全、消防等方面进行监督检查，乙方应服从甲方管理。甲方有权根据相关规定对乙方进行处罚。一旦发生类似于食物中毒、安全或消防等重大责任事故，甲方有权终止本合同，并追究乙方的法律责任，乙方应承担全部责任，并赔偿因此给甲方造成的全部损失。</w:t>
      </w:r>
    </w:p>
    <w:p w14:paraId="255446F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6、甲方有权审定乙方制定的食堂管理制度及实施细则，并对乙方的具体落实情况进行督促、检查。</w:t>
      </w:r>
    </w:p>
    <w:p w14:paraId="40A900D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7、甲方有权对食堂的饭菜售价进行最高限价。乙方需要上新菜或者调整菜品价格的时候，必须向甲方申请并经过甲方书面批准后才可以执行，否则甲方有权按照处罚规定进行处罚。</w:t>
      </w:r>
    </w:p>
    <w:p w14:paraId="7F1D6E9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8、甲方有权审核乙方所聘工作人员的上岗条件，对不具备身份证、健康证、暂住证、有违法及不良记录者，甲方有权制止其上岗，乙方应无条件及时更换。甲方有权对乙方工作人员的个别调换提出建议，乙方应予配合。</w:t>
      </w:r>
    </w:p>
    <w:p w14:paraId="71C6073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9、甲方有权监督乙方组织从业人员进行食品卫生知识、消防安全知识、职业道德、有关法律法规及学校的各项规章制度的学习。</w:t>
      </w:r>
    </w:p>
    <w:p w14:paraId="70D9E80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10、甲方有权指定食堂消费支付和结算方式，乙方未经甲方允许严禁使用甲方指定以外的任何收费方式，否则，首次发现扣罚乙方违约金2000元，第二次发现扣罚乙方违约金5000元，第三次发现扣罚乙方违约金10000元，且甲方有权终止服务合同，乙方应赔偿因此给甲方造成的全部损失。</w:t>
      </w:r>
    </w:p>
    <w:p w14:paraId="527C640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11、甲方有权定期对乙方提供的服务等状况进行满意度测评，乙方须积极配合各项测评活动，并根据测评意见及时改进工作中的不足之处。测评满意度连续二次达不到85%或对测评整改建议拒不执行的，甲方有权扣除履约保证金或终止服务合同。测评满意度达不到80%的，直接终止服务合同，乙方应赔偿因此给甲方造成的全部损失。</w:t>
      </w:r>
    </w:p>
    <w:p w14:paraId="25690ED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12、甲方按乙方实际数量要求提供售饭窗机，并协调相关部门进行维护，费用由乙方承担。</w:t>
      </w:r>
    </w:p>
    <w:p w14:paraId="79EA726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13、食堂及其周边的环境卫生由乙方负责，甲方负责监督，对于乙方破坏学校校园环境的行为，甲方有权要求乙方整改，乙方未按期整改的，甲方有权自行扫除或委托第三方，由此产生的一切费用由乙方承担，乙方对甲方委托第三方及由此产生的费用无任何异议，甲方有权在应付乙方款项中直接扣减。</w:t>
      </w:r>
    </w:p>
    <w:p w14:paraId="7A63F51D">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八、乙方的权利和义务</w:t>
      </w:r>
    </w:p>
    <w:p w14:paraId="2BC6FD5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1、乙方要按照教育部《高等学校学生食堂伙食结构及成本核算指导意见》</w:t>
      </w:r>
      <w:r>
        <w:rPr>
          <w:rFonts w:hint="eastAsia" w:ascii="宋体" w:hAnsi="宋体" w:cs="宋体"/>
          <w:sz w:val="24"/>
          <w:highlight w:val="none"/>
          <w:lang w:eastAsia="zh-CN"/>
        </w:rPr>
        <w:t>（</w:t>
      </w:r>
      <w:r>
        <w:rPr>
          <w:rFonts w:hint="eastAsia" w:ascii="宋体" w:hAnsi="宋体" w:cs="宋体"/>
          <w:sz w:val="24"/>
          <w:highlight w:val="none"/>
        </w:rPr>
        <w:t>中高学后伙</w:t>
      </w:r>
      <w:r>
        <w:rPr>
          <w:rFonts w:hint="eastAsia" w:ascii="宋体" w:hAnsi="宋体" w:cs="宋体"/>
          <w:sz w:val="24"/>
          <w:highlight w:val="none"/>
          <w:lang w:eastAsia="zh-CN"/>
        </w:rPr>
        <w:t>（</w:t>
      </w:r>
      <w:r>
        <w:rPr>
          <w:rFonts w:hint="eastAsia" w:ascii="宋体" w:hAnsi="宋体" w:cs="宋体"/>
          <w:sz w:val="24"/>
          <w:highlight w:val="none"/>
        </w:rPr>
        <w:t>2012</w:t>
      </w:r>
      <w:r>
        <w:rPr>
          <w:rFonts w:hint="eastAsia" w:ascii="宋体" w:hAnsi="宋体" w:cs="宋体"/>
          <w:sz w:val="24"/>
          <w:highlight w:val="none"/>
          <w:lang w:eastAsia="zh-CN"/>
        </w:rPr>
        <w:t>）</w:t>
      </w:r>
      <w:r>
        <w:rPr>
          <w:rFonts w:hint="eastAsia" w:ascii="宋体" w:hAnsi="宋体" w:cs="宋体"/>
          <w:sz w:val="24"/>
          <w:highlight w:val="none"/>
        </w:rPr>
        <w:t>2号</w:t>
      </w:r>
      <w:r>
        <w:rPr>
          <w:rFonts w:hint="eastAsia" w:ascii="宋体" w:hAnsi="宋体" w:cs="宋体"/>
          <w:sz w:val="24"/>
          <w:highlight w:val="none"/>
          <w:lang w:eastAsia="zh-CN"/>
        </w:rPr>
        <w:t>）</w:t>
      </w:r>
      <w:r>
        <w:rPr>
          <w:rFonts w:hint="eastAsia" w:ascii="宋体" w:hAnsi="宋体" w:cs="宋体"/>
          <w:sz w:val="24"/>
          <w:highlight w:val="none"/>
        </w:rPr>
        <w:t>和山东省教育厅《关于规范高等学校学生食堂管理的意见》</w:t>
      </w:r>
      <w:r>
        <w:rPr>
          <w:rFonts w:hint="eastAsia" w:ascii="宋体" w:hAnsi="宋体" w:cs="宋体"/>
          <w:sz w:val="24"/>
          <w:highlight w:val="none"/>
          <w:lang w:eastAsia="zh-CN"/>
        </w:rPr>
        <w:t>（</w:t>
      </w:r>
      <w:r>
        <w:rPr>
          <w:rFonts w:hint="eastAsia" w:ascii="宋体" w:hAnsi="宋体" w:cs="宋体"/>
          <w:sz w:val="24"/>
          <w:highlight w:val="none"/>
        </w:rPr>
        <w:t>鲁教财发</w:t>
      </w:r>
      <w:r>
        <w:rPr>
          <w:rFonts w:hint="eastAsia" w:ascii="宋体" w:hAnsi="宋体" w:cs="宋体"/>
          <w:sz w:val="24"/>
          <w:highlight w:val="none"/>
          <w:lang w:eastAsia="zh-CN"/>
        </w:rPr>
        <w:t>（</w:t>
      </w:r>
      <w:r>
        <w:rPr>
          <w:rFonts w:hint="eastAsia" w:ascii="宋体" w:hAnsi="宋体" w:cs="宋体"/>
          <w:sz w:val="24"/>
          <w:highlight w:val="none"/>
        </w:rPr>
        <w:t>2023</w:t>
      </w:r>
      <w:r>
        <w:rPr>
          <w:rFonts w:hint="eastAsia" w:ascii="宋体" w:hAnsi="宋体" w:cs="宋体"/>
          <w:sz w:val="24"/>
          <w:highlight w:val="none"/>
          <w:lang w:eastAsia="zh-CN"/>
        </w:rPr>
        <w:t>）</w:t>
      </w:r>
      <w:r>
        <w:rPr>
          <w:rFonts w:hint="eastAsia" w:ascii="宋体" w:hAnsi="宋体" w:cs="宋体"/>
          <w:sz w:val="24"/>
          <w:highlight w:val="none"/>
        </w:rPr>
        <w:t>1号</w:t>
      </w:r>
      <w:r>
        <w:rPr>
          <w:rFonts w:hint="eastAsia" w:ascii="宋体" w:hAnsi="宋体" w:cs="宋体"/>
          <w:sz w:val="24"/>
          <w:highlight w:val="none"/>
          <w:lang w:eastAsia="zh-CN"/>
        </w:rPr>
        <w:t>）</w:t>
      </w:r>
      <w:r>
        <w:rPr>
          <w:rFonts w:hint="eastAsia" w:ascii="宋体" w:hAnsi="宋体" w:cs="宋体"/>
          <w:sz w:val="24"/>
          <w:highlight w:val="none"/>
        </w:rPr>
        <w:t>文件精神做好公益性学生餐厅的经营。基本大伙菜的份量相对固定：无汁无汤的菜200克左右；带汁的菜230克左右；带汤的菜250克左右。</w:t>
      </w:r>
    </w:p>
    <w:p w14:paraId="69433E0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乙方应遵守学校的相关规章制度，餐厅内及食堂周边的卫生由乙方负责，乙方应承担由此产生的一切费用。乙方在甲方规定的各功能划分区内进行相应工作，未经甲方允许不得改变各功能区用途，不得变更各功能区使用范围，不得扩大使用场地，不得新搭新建。</w:t>
      </w:r>
    </w:p>
    <w:p w14:paraId="2431AC6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3、在乙方经营期间，甲方的原有设备乙方可视需要造册留用，按照中央五部门文件精神不计提折旧费用。合同期满或解除后，乙方应将固定资产交还甲方，期间发生的维修费用由乙方负责。</w:t>
      </w:r>
    </w:p>
    <w:p w14:paraId="77FD4E3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乙方在经营期间，必须做好卫生防疫、治安、消防等工作，严格遵守《消防法》的相关规定，配齐配全消防设施，强化员工使用培训，消防设施的维护费用由乙方承担，发生火灾事故，乙方必须承担全部法律责任，赔偿给甲方学校造成的损失；乙方应按照城管或环保部门要求安装油烟分离处理装置，并通过相关部门的验收，定期监测并做好记录。</w:t>
      </w:r>
    </w:p>
    <w:p w14:paraId="02BFF1A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5、乙方聘用工作人员从事合法经营业务，所聘员工的劳动或劳务关系以及其他一切事务由乙方负责处理，所聘工作人员均须佩戴有效“工作证”上岗。</w:t>
      </w:r>
    </w:p>
    <w:p w14:paraId="2464EAF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6、乙方的所有工作人员必须经过严格、规范的业务和服务礼仪等培训；工作人员上岗时必须具备良好的个人卫生习惯。上班期间，工作人员必须统一着装，穿着工作服、围裙、戴工作帽、戴口罩、戴手套、佩戴胸卡。使用规范、礼貌服务用语，严禁一切不良动作和习惯；出售食物时必须使用专门工具，不得用手直接接触食物；上岗前或便后必须更衣、洗手；禁止在工作场所抽烟、喧哗和打闹。</w:t>
      </w:r>
    </w:p>
    <w:p w14:paraId="4F6E85A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7、乙方要保障每学期食堂正常营业。每学期开业前，乙方应向甲方提供工作人员的《健康证》,身份证</w:t>
      </w:r>
      <w:r>
        <w:rPr>
          <w:rFonts w:hint="eastAsia" w:ascii="宋体" w:hAnsi="宋体" w:cs="宋体"/>
          <w:sz w:val="24"/>
          <w:highlight w:val="none"/>
          <w:lang w:eastAsia="zh-CN"/>
        </w:rPr>
        <w:t>（</w:t>
      </w:r>
      <w:r>
        <w:rPr>
          <w:rFonts w:hint="eastAsia" w:ascii="宋体" w:hAnsi="宋体" w:cs="宋体"/>
          <w:sz w:val="24"/>
          <w:highlight w:val="none"/>
        </w:rPr>
        <w:t>复印件</w:t>
      </w:r>
      <w:r>
        <w:rPr>
          <w:rFonts w:hint="eastAsia" w:ascii="宋体" w:hAnsi="宋体" w:cs="宋体"/>
          <w:sz w:val="24"/>
          <w:highlight w:val="none"/>
          <w:lang w:eastAsia="zh-CN"/>
        </w:rPr>
        <w:t>）</w:t>
      </w:r>
      <w:r>
        <w:rPr>
          <w:rFonts w:hint="eastAsia" w:ascii="宋体" w:hAnsi="宋体" w:cs="宋体"/>
          <w:sz w:val="24"/>
          <w:highlight w:val="none"/>
        </w:rPr>
        <w:t>、居住证、无犯罪证明、履历表和人员花名册。</w:t>
      </w:r>
    </w:p>
    <w:p w14:paraId="6B1D8C7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8、乙方应加强员工的管理，加强思想教育和职业道德教育，抓好安全生产。服务合同期内，所发生的人员伤亡或其它安全事故由乙方承担完全责任及费用，并赔偿因此给甲方造成的全部损失；情节严重的，甲方有权单方面解除合同。</w:t>
      </w:r>
    </w:p>
    <w:p w14:paraId="47ED303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9、乙方享有工作人员的聘用权，必须遵守《中华人民共和国劳动合同法》的相关规定。乙方所有职工的居住证、体检、卫生管理、治安管理、工资、社保等费用由乙方自行承担，所用员工与甲方学校无隶属关系，无劳资关系。乙方在经营中引起的一切民事责任和其他责任及费用，全部自负，甲方不承担任何责任。如果因上述原因导致甲方承担法律责任的，甲方有权追究乙方违约责任，且乙方应赔偿因此给甲方造成的全部损失。</w:t>
      </w:r>
    </w:p>
    <w:p w14:paraId="2971155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10、乙方项目经理全面负责餐厅的经营服务，在合同期内未经甲方学校书面同意不得更换。甲方有权要求更换不合格的项目经理。乙方员工住宿由乙方自行解决，甲方学校不提供员工宿舍。</w:t>
      </w:r>
    </w:p>
    <w:p w14:paraId="5C117E5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11、乙方必须严格遵守《中华人民共和国食品安全法》、《学生食堂与学生集体用餐卫生管理规定》、《餐饮业和集体用餐配送单位卫生规范》、《中华人民共和国消防法》、《中华人民共和国劳动合同法》《中华人民共和国环境保护法》等国家有关法律、法规和山东省有关规定和甲方的各项规章制度，做到守法经营，确保餐饮经营服务中的卫生、质量和安全。乙方应自觉接受甲方的检查、监督，发现问题必须及时纠正、改进。检查中，如发现有不合格的情况，乙方须按照甲方要求进行限期整改或接受甲方经济处罚。</w:t>
      </w:r>
    </w:p>
    <w:p w14:paraId="22DFAD7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12、乙方要服从学校大局需要，有义务积极配合、参与甲方的各类重大活动并提供优质服务，按照学校有关要求执行；自觉接受上级部门</w:t>
      </w:r>
      <w:r>
        <w:rPr>
          <w:rFonts w:hint="eastAsia" w:ascii="宋体" w:hAnsi="宋体" w:cs="宋体"/>
          <w:sz w:val="24"/>
          <w:highlight w:val="none"/>
          <w:lang w:eastAsia="zh-CN"/>
        </w:rPr>
        <w:t>（</w:t>
      </w:r>
      <w:r>
        <w:rPr>
          <w:rFonts w:hint="eastAsia" w:ascii="宋体" w:hAnsi="宋体" w:cs="宋体"/>
          <w:sz w:val="24"/>
          <w:highlight w:val="none"/>
        </w:rPr>
        <w:t>市场监管局、环保、城管等</w:t>
      </w:r>
      <w:r>
        <w:rPr>
          <w:rFonts w:hint="eastAsia" w:ascii="宋体" w:hAnsi="宋体" w:cs="宋体"/>
          <w:sz w:val="24"/>
          <w:highlight w:val="none"/>
          <w:lang w:eastAsia="zh-CN"/>
        </w:rPr>
        <w:t>）</w:t>
      </w:r>
      <w:r>
        <w:rPr>
          <w:rFonts w:hint="eastAsia" w:ascii="宋体" w:hAnsi="宋体" w:cs="宋体"/>
          <w:sz w:val="24"/>
          <w:highlight w:val="none"/>
        </w:rPr>
        <w:t>的各种检查，服从学校职能部门的管理、监督和指导，执行学校对餐饮公司安全、服务、卫生等方面的管理和考核。</w:t>
      </w:r>
    </w:p>
    <w:p w14:paraId="4C7A7B3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cs="宋体"/>
          <w:sz w:val="24"/>
          <w:highlight w:val="none"/>
        </w:rPr>
        <w:t>13、乙方应制定食品安全事故处置方案。为预防意外发生，乙方须针对本项目购买</w:t>
      </w:r>
      <w:r>
        <w:rPr>
          <w:rFonts w:hint="eastAsia" w:ascii="宋体" w:hAnsi="宋体" w:eastAsia="宋体" w:cs="宋体"/>
          <w:sz w:val="24"/>
          <w:highlight w:val="none"/>
          <w:lang w:val="en-US" w:eastAsia="zh-CN"/>
        </w:rPr>
        <w:t>各类保险，如公共场所责任险、⻝品安全责任险、燃⽓安全险、“三防”险等。其中公共场所责任险、⻝品安全责任险均不少于2000万元。</w:t>
      </w:r>
    </w:p>
    <w:p w14:paraId="5BF2D1E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14、乙方遵守甲方关于校园保洁方面的规定，严禁在食堂周边摆放杂物，以保障食堂及既周边整体环境卫生。每天定时清理食堂内外排污池、下水道，确保畅通，及时清运餐厅垃圾，放置到位，自觉接受学校及政府环境保护部门的监督管理。</w:t>
      </w:r>
    </w:p>
    <w:p w14:paraId="58CB899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15、乙方必须按照城管局要求对食堂的泔水、食材废料等餐厨垃圾分类管理，如政策发生变化以政府部门相关政策为准。</w:t>
      </w:r>
    </w:p>
    <w:p w14:paraId="3B61F94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16、乙方每学期要对食堂抽排烟系统进行、油烟分离设备进行专业清理、对燃气报警器维护保养，并做好清洗保养记录归档备查工作，乙方承担由此产生的全部费用。</w:t>
      </w:r>
    </w:p>
    <w:p w14:paraId="04D94F7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17、乙方在经营期间所产生的所有债权、债务关系由乙方自理，与甲方无关。乙方对外经济活动只能以乙方自身法人公司名义，不能以甲方食堂名义签订任何经济合同，且甲方有权监督乙方经营期间内与供货方的经济往来活动。因乙方与任何第三方发生纠纷导致甲方承担责任的，乙方应当在甲方承担责任的范围内向甲方全额赔偿，并赔偿因此给甲方造成的全部损失，包括但不限于诉讼费、律师费、保险责任费、差旅费等。</w:t>
      </w:r>
    </w:p>
    <w:p w14:paraId="7495391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18、乙方在经营期间，未经甲方书面允许，不得以任何可能使第三人误以为与甲方有任何关联的名义从事任何活动，否则甲方有权单方面解除合同，乙方应承担5万元的违约金，并赔偿因此给甲方造成的全部损失。</w:t>
      </w:r>
    </w:p>
    <w:p w14:paraId="3572D20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19、</w:t>
      </w:r>
      <w:r>
        <w:rPr>
          <w:rFonts w:hint="eastAsia" w:ascii="宋体" w:hAnsi="宋体" w:cs="宋体"/>
          <w:sz w:val="24"/>
          <w:highlight w:val="none"/>
          <w:lang w:val="en-US" w:eastAsia="zh-CN"/>
        </w:rPr>
        <w:t>甲方</w:t>
      </w:r>
      <w:r>
        <w:rPr>
          <w:rFonts w:hint="eastAsia" w:ascii="宋体" w:hAnsi="宋体" w:cs="宋体"/>
          <w:sz w:val="24"/>
          <w:highlight w:val="none"/>
        </w:rPr>
        <w:t>对食堂各类风味档口</w:t>
      </w:r>
      <w:r>
        <w:rPr>
          <w:rFonts w:hint="eastAsia" w:ascii="宋体" w:hAnsi="宋体" w:cs="宋体"/>
          <w:sz w:val="24"/>
          <w:highlight w:val="none"/>
          <w:lang w:val="en-US" w:eastAsia="zh-CN"/>
        </w:rPr>
        <w:t>进行</w:t>
      </w:r>
      <w:r>
        <w:rPr>
          <w:rFonts w:hint="eastAsia" w:ascii="宋体" w:hAnsi="宋体" w:cs="宋体"/>
          <w:sz w:val="24"/>
          <w:highlight w:val="none"/>
        </w:rPr>
        <w:t>统一规划，</w:t>
      </w:r>
      <w:r>
        <w:rPr>
          <w:rFonts w:hint="eastAsia" w:ascii="宋体" w:hAnsi="宋体" w:cs="宋体"/>
          <w:sz w:val="24"/>
          <w:highlight w:val="none"/>
          <w:lang w:val="en-US" w:eastAsia="zh-CN"/>
        </w:rPr>
        <w:t>由乙方</w:t>
      </w:r>
      <w:r>
        <w:rPr>
          <w:rFonts w:hint="eastAsia" w:ascii="宋体" w:hAnsi="宋体" w:cs="宋体"/>
          <w:sz w:val="24"/>
          <w:highlight w:val="none"/>
        </w:rPr>
        <w:t>实行，所有档口不得对外分租转包，否则甲方有权单方面解除合同，乙方应承担2-10万元的违约金，并赔偿因此给甲方造成的全部损失。</w:t>
      </w:r>
    </w:p>
    <w:p w14:paraId="5032C46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20、如遇突发或重大事件，乙方管理人员应在第一时间报告学校有关部门，乙方项目负责人应在第一时间到达现场，适时处理或协助处理有关问题，学校如认为情况危及到学校的安全稳定，乙方应无条件同意学校直接调配乙方资源直至危机结束。</w:t>
      </w:r>
    </w:p>
    <w:p w14:paraId="7F8715F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21、乙方不得干涉学生自由选择就餐的权利。在经营区域内，有义务劝阻学生抽烟、酗酒、赌博等违法活动。</w:t>
      </w:r>
    </w:p>
    <w:p w14:paraId="725D6BF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22、乙方项目负责人</w:t>
      </w:r>
      <w:r>
        <w:rPr>
          <w:rFonts w:hint="eastAsia" w:ascii="宋体" w:hAnsi="宋体" w:cs="宋体"/>
          <w:sz w:val="24"/>
          <w:highlight w:val="none"/>
          <w:lang w:eastAsia="zh-CN"/>
        </w:rPr>
        <w:t>（</w:t>
      </w:r>
      <w:r>
        <w:rPr>
          <w:rFonts w:hint="eastAsia" w:ascii="宋体" w:hAnsi="宋体" w:cs="宋体"/>
          <w:sz w:val="24"/>
          <w:highlight w:val="none"/>
        </w:rPr>
        <w:t>或驻店经理</w:t>
      </w:r>
      <w:r>
        <w:rPr>
          <w:rFonts w:hint="eastAsia" w:ascii="宋体" w:hAnsi="宋体" w:cs="宋体"/>
          <w:sz w:val="24"/>
          <w:highlight w:val="none"/>
          <w:lang w:eastAsia="zh-CN"/>
        </w:rPr>
        <w:t>）</w:t>
      </w:r>
      <w:r>
        <w:rPr>
          <w:rFonts w:hint="eastAsia" w:ascii="宋体" w:hAnsi="宋体" w:cs="宋体"/>
          <w:sz w:val="24"/>
          <w:highlight w:val="none"/>
        </w:rPr>
        <w:t>在正常营业时间必须在岗在位，亲自、按时参加甲方召集的工作例会，听取师生代表及监管部门意见，及时改正存在问题，不断提高服务水平和饭菜质量。</w:t>
      </w:r>
    </w:p>
    <w:p w14:paraId="1E3001C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23、乙方要加强员工售饭售菜业务的培训，正餐高峰期要加开服务窗口，不得出现排长龙</w:t>
      </w:r>
      <w:r>
        <w:rPr>
          <w:rFonts w:hint="eastAsia" w:ascii="宋体" w:hAnsi="宋体" w:cs="宋体"/>
          <w:sz w:val="24"/>
          <w:highlight w:val="none"/>
          <w:lang w:eastAsia="zh-CN"/>
        </w:rPr>
        <w:t>（</w:t>
      </w:r>
      <w:r>
        <w:rPr>
          <w:rFonts w:hint="eastAsia" w:ascii="宋体" w:hAnsi="宋体" w:cs="宋体"/>
          <w:sz w:val="24"/>
          <w:highlight w:val="none"/>
        </w:rPr>
        <w:t>每队20人以上</w:t>
      </w:r>
      <w:r>
        <w:rPr>
          <w:rFonts w:hint="eastAsia" w:ascii="宋体" w:hAnsi="宋体" w:cs="宋体"/>
          <w:sz w:val="24"/>
          <w:highlight w:val="none"/>
          <w:lang w:eastAsia="zh-CN"/>
        </w:rPr>
        <w:t>）</w:t>
      </w:r>
      <w:r>
        <w:rPr>
          <w:rFonts w:hint="eastAsia" w:ascii="宋体" w:hAnsi="宋体" w:cs="宋体"/>
          <w:sz w:val="24"/>
          <w:highlight w:val="none"/>
        </w:rPr>
        <w:t>等拥挤、混乱情况。就餐大厅保洁人员要根据就餐时间安排合理值班，要随时保持就餐环境卫生，否则甲方有权根据情况对乙方进行相应处罚。</w:t>
      </w:r>
    </w:p>
    <w:p w14:paraId="2F8BCF0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24、乙方的营业时间必须按甲方的要求设置，原则上与学校的作息时间同步，乙方不得超出营业时间经营。暑、寒假食堂值班，乙方须服从甲方的统一安排。</w:t>
      </w:r>
    </w:p>
    <w:p w14:paraId="4C07471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25、乙方应自觉接受和配合上级主管部门、市场监管局等部门对食堂工作的监督检查，并如实提供有关情况，由此产生的一切费用由乙方承担。</w:t>
      </w:r>
    </w:p>
    <w:p w14:paraId="03402AA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26、乙方须配合甲方参评各类与学校食堂餐饮有关的评优、评级活动。</w:t>
      </w:r>
    </w:p>
    <w:p w14:paraId="124CDDC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27、乙方须加强食堂文化建设，充分体现环境育人、服务育人的功能，把食堂办成精神文明之窗和师生温暖之家，把餐厅办成集学生就餐、学习、交流的复合型餐厅。甲方根据乙方每年举办、承办的传统节日公益性活动的次数、规模、受益人数等情况给予适当形式的奖励。</w:t>
      </w:r>
    </w:p>
    <w:p w14:paraId="5251036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28、乙方负责食堂运营所需设施设备的维护、维修、保养、更新、餐用具购置、日常消耗支出、低耗物资购置，并承担由此产生的全部费用，以及负责除食品原材料以外的其他费用支出。</w:t>
      </w:r>
    </w:p>
    <w:p w14:paraId="27448BD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29、乙方在饭菜加工过程中要避免浪费原材料，且严禁将食品原材料带出食堂，否则甲方有权按照相关制度进行处罚，视具体情节甲方有权按照盗窃做报警处理。</w:t>
      </w:r>
    </w:p>
    <w:p w14:paraId="0C871EC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30、乙方应保证水、电、暖、气、通讯、网络、卫生、治安、消防、物业管理等事项的安全，不留隐患，所发生的所有费用由乙方承担。其中，水电费由甲方在应付乙方款项中代扣代缴，其余费用由乙方按时足额向提供上述服务者缴纳相关费用。</w:t>
      </w:r>
    </w:p>
    <w:p w14:paraId="1E484FD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31、乙方如违反上述约定，甲方有权进行处罚扣减履约保证金作为违约金，直至解除合同并没收全部履约保证金。</w:t>
      </w:r>
    </w:p>
    <w:p w14:paraId="2469D222">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九、服务成果的归属</w:t>
      </w:r>
    </w:p>
    <w:p w14:paraId="2F58272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1、所有提交给甲方的技术报告及相关的资料的最后文本，包括为履行技术服务范围所编制的计划和证明资料等，都属于甲方的财产，乙方在提交给甲方之前应将上述资料进行整理归类和编制索引。</w:t>
      </w:r>
    </w:p>
    <w:p w14:paraId="3806320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2、乙方可保存上述资料的复印件，包括甲方提供的资料，但未经甲方的书面同意，乙方不得将上述资料用于与本服务项目之外的任何项目。</w:t>
      </w:r>
    </w:p>
    <w:p w14:paraId="2FA363C3">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十、履约验收</w:t>
      </w:r>
    </w:p>
    <w:p w14:paraId="54F49367">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本合同为甲方进行履约验收的主要依据。甲方应专门成立履约验收小组，对供应商的现场运营情况进行验收，包括菜品质量、服务质量、环境卫生等方面，验收应依据采购人考核标准及合同约定进行，确保中标人的服务质量和菜品质量符合采购人的要求，符合招标文件要求，投标文件及乙方在评审过程中做出的书面澄清及承诺，冲突之处执行最高标准。根据服务要求对服务进行逐项验收，并填报《履约验收书》和验收报告，验收报告作为付款凭据之一。</w:t>
      </w:r>
    </w:p>
    <w:p w14:paraId="19903EF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2、乙方配合验收，提供所需资料，对存疑问题进行解释或补充。必要时可邀请第三方机构或专业人员协助组织。对项目验收发生的检测</w:t>
      </w:r>
      <w:r>
        <w:rPr>
          <w:rFonts w:hint="eastAsia" w:ascii="宋体" w:hAnsi="宋体" w:cs="宋体"/>
          <w:sz w:val="24"/>
          <w:highlight w:val="none"/>
          <w:lang w:eastAsia="zh-CN"/>
        </w:rPr>
        <w:t>（</w:t>
      </w:r>
      <w:r>
        <w:rPr>
          <w:rFonts w:hint="eastAsia" w:ascii="宋体" w:hAnsi="宋体" w:cs="宋体"/>
          <w:sz w:val="24"/>
          <w:highlight w:val="none"/>
        </w:rPr>
        <w:t>检验</w:t>
      </w:r>
      <w:r>
        <w:rPr>
          <w:rFonts w:hint="eastAsia" w:ascii="宋体" w:hAnsi="宋体" w:cs="宋体"/>
          <w:sz w:val="24"/>
          <w:highlight w:val="none"/>
          <w:lang w:eastAsia="zh-CN"/>
        </w:rPr>
        <w:t>）</w:t>
      </w:r>
      <w:r>
        <w:rPr>
          <w:rFonts w:hint="eastAsia" w:ascii="宋体" w:hAnsi="宋体" w:cs="宋体"/>
          <w:sz w:val="24"/>
          <w:highlight w:val="none"/>
        </w:rPr>
        <w:t>费、劳务报酬等费用支出，由乙方承担。</w:t>
      </w:r>
    </w:p>
    <w:p w14:paraId="34CDE6F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验收文档要求：乙方提供的所有文件应该真实、全面、完整、详细，应以中文书写。乙方提供的所有文件应能满足服务进行所需的详细技术资料。电子文档是成果不可分割的部分；根据服务进度及时提供该项目的电子文档交付给甲方。</w:t>
      </w:r>
    </w:p>
    <w:p w14:paraId="42F92D14">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十一、保密</w:t>
      </w:r>
    </w:p>
    <w:p w14:paraId="26D9969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180A95D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2、合同有效期内，双方采取适当措施对相关资料或信息予以严格保密，未经一方的书面同意，另一方不得泄露给任何第三方。</w:t>
      </w:r>
    </w:p>
    <w:p w14:paraId="71D8AE3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3、一方和其技术人员在履行合同过程中所获得或接触到的任何保密信息，另一方有义务予以保密，未经其书面同意，任何一方不得使用或泄露从他方获得的上述保密信息。</w:t>
      </w:r>
    </w:p>
    <w:p w14:paraId="2829C5EA">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十二、廉洁条款</w:t>
      </w:r>
    </w:p>
    <w:p w14:paraId="755769B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乙方经营服务中，不得向甲方有关人员请客、送礼或给予回扣、佣金、有价证券、实物或其他形式的好处。一经发现查实，甲方有权中止合同并酌情扣罚2-10万的履约保证金；情节严重的，甲方有权解除合同。</w:t>
      </w:r>
    </w:p>
    <w:p w14:paraId="0AEC3E80">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十三、合同解除及违约责任</w:t>
      </w:r>
    </w:p>
    <w:p w14:paraId="5C1F818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1、除本合同约定的情形外，任何一方在没有不可抗力因素或政策要求发生变化的情况下，不得擅自终止合同。</w:t>
      </w:r>
    </w:p>
    <w:p w14:paraId="35A2B0B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2、在服务合同期内，若因不可抗力因素或上级有关政策要求发生变化而致使本合同不能正常履行，甲方不承担违约责任，甲方应提前一个月通知乙方，乙方应无条件服从，甲方将履约保证金返还乙方</w:t>
      </w:r>
      <w:r>
        <w:rPr>
          <w:rFonts w:hint="eastAsia" w:ascii="宋体" w:hAnsi="宋体" w:cs="宋体"/>
          <w:sz w:val="24"/>
          <w:highlight w:val="none"/>
          <w:lang w:eastAsia="zh-CN"/>
        </w:rPr>
        <w:t>（</w:t>
      </w:r>
      <w:r>
        <w:rPr>
          <w:rFonts w:hint="eastAsia" w:ascii="宋体" w:hAnsi="宋体" w:cs="宋体"/>
          <w:sz w:val="24"/>
          <w:highlight w:val="none"/>
        </w:rPr>
        <w:t>不计利息</w:t>
      </w:r>
      <w:r>
        <w:rPr>
          <w:rFonts w:hint="eastAsia" w:ascii="宋体" w:hAnsi="宋体" w:cs="宋体"/>
          <w:sz w:val="24"/>
          <w:highlight w:val="none"/>
          <w:lang w:eastAsia="zh-CN"/>
        </w:rPr>
        <w:t>）</w:t>
      </w:r>
      <w:r>
        <w:rPr>
          <w:rFonts w:hint="eastAsia" w:ascii="宋体" w:hAnsi="宋体" w:cs="宋体"/>
          <w:sz w:val="24"/>
          <w:highlight w:val="none"/>
        </w:rPr>
        <w:t>。</w:t>
      </w:r>
    </w:p>
    <w:p w14:paraId="21E19B3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3、乙方在合同期内出现下列情况之一者，乙方除承担法律和经济责任外，甲方有权终止合同，乙方无条件退出，甲方不作任何赔偿，根据情况扣罚部分或全部履约保证金。</w:t>
      </w:r>
    </w:p>
    <w:p w14:paraId="736ECBF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1</w:t>
      </w:r>
      <w:r>
        <w:rPr>
          <w:rFonts w:hint="eastAsia" w:ascii="宋体" w:hAnsi="宋体" w:cs="宋体"/>
          <w:sz w:val="24"/>
          <w:highlight w:val="none"/>
          <w:lang w:eastAsia="zh-CN"/>
        </w:rPr>
        <w:t>）</w:t>
      </w:r>
      <w:r>
        <w:rPr>
          <w:rFonts w:hint="eastAsia" w:ascii="宋体" w:hAnsi="宋体" w:cs="宋体"/>
          <w:sz w:val="24"/>
          <w:highlight w:val="none"/>
        </w:rPr>
        <w:t>因乙方餐厅规划、布局或条件不能满足市场监管局要求等原因不能取得相关证照；</w:t>
      </w:r>
    </w:p>
    <w:p w14:paraId="0C6A899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2</w:t>
      </w:r>
      <w:r>
        <w:rPr>
          <w:rFonts w:hint="eastAsia" w:ascii="宋体" w:hAnsi="宋体" w:cs="宋体"/>
          <w:sz w:val="24"/>
          <w:highlight w:val="none"/>
          <w:lang w:eastAsia="zh-CN"/>
        </w:rPr>
        <w:t>）</w:t>
      </w:r>
      <w:r>
        <w:rPr>
          <w:rFonts w:hint="eastAsia" w:ascii="宋体" w:hAnsi="宋体" w:cs="宋体"/>
          <w:sz w:val="24"/>
          <w:highlight w:val="none"/>
        </w:rPr>
        <w:t>乙方中标后，在合同规定时间内不交纳履约保证金的；</w:t>
      </w:r>
    </w:p>
    <w:p w14:paraId="6D8279E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3</w:t>
      </w:r>
      <w:r>
        <w:rPr>
          <w:rFonts w:hint="eastAsia" w:ascii="宋体" w:hAnsi="宋体" w:cs="宋体"/>
          <w:sz w:val="24"/>
          <w:highlight w:val="none"/>
          <w:lang w:eastAsia="zh-CN"/>
        </w:rPr>
        <w:t>）</w:t>
      </w:r>
      <w:r>
        <w:rPr>
          <w:rFonts w:hint="eastAsia" w:ascii="宋体" w:hAnsi="宋体" w:cs="宋体"/>
          <w:sz w:val="24"/>
          <w:highlight w:val="none"/>
        </w:rPr>
        <w:t>不能于正式经营服务前办理好从业人员健康证等相关证照的；</w:t>
      </w:r>
    </w:p>
    <w:p w14:paraId="18AFEFD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4</w:t>
      </w:r>
      <w:r>
        <w:rPr>
          <w:rFonts w:hint="eastAsia" w:ascii="宋体" w:hAnsi="宋体" w:cs="宋体"/>
          <w:sz w:val="24"/>
          <w:highlight w:val="none"/>
          <w:lang w:eastAsia="zh-CN"/>
        </w:rPr>
        <w:t>）</w:t>
      </w:r>
      <w:r>
        <w:rPr>
          <w:rFonts w:hint="eastAsia" w:ascii="宋体" w:hAnsi="宋体" w:cs="宋体"/>
          <w:sz w:val="24"/>
          <w:highlight w:val="none"/>
        </w:rPr>
        <w:t>乙方在经营服务甲方食堂后，转租分包给其他第三方的；</w:t>
      </w:r>
    </w:p>
    <w:p w14:paraId="7A5E954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5</w:t>
      </w:r>
      <w:r>
        <w:rPr>
          <w:rFonts w:hint="eastAsia" w:ascii="宋体" w:hAnsi="宋体" w:cs="宋体"/>
          <w:sz w:val="24"/>
          <w:highlight w:val="none"/>
          <w:lang w:eastAsia="zh-CN"/>
        </w:rPr>
        <w:t>）</w:t>
      </w:r>
      <w:r>
        <w:rPr>
          <w:rFonts w:hint="eastAsia" w:ascii="宋体" w:hAnsi="宋体" w:cs="宋体"/>
          <w:sz w:val="24"/>
          <w:highlight w:val="none"/>
        </w:rPr>
        <w:t>违反规定，存在掺杂做假、销售无证食品、超出餐饮</w:t>
      </w:r>
      <w:r>
        <w:rPr>
          <w:rFonts w:hint="eastAsia" w:ascii="宋体" w:hAnsi="宋体" w:cs="宋体"/>
          <w:sz w:val="24"/>
          <w:highlight w:val="none"/>
          <w:lang w:eastAsia="zh-CN"/>
        </w:rPr>
        <w:t>（</w:t>
      </w:r>
      <w:r>
        <w:rPr>
          <w:rFonts w:hint="eastAsia" w:ascii="宋体" w:hAnsi="宋体" w:cs="宋体"/>
          <w:sz w:val="24"/>
          <w:highlight w:val="none"/>
        </w:rPr>
        <w:t>食品</w:t>
      </w:r>
      <w:r>
        <w:rPr>
          <w:rFonts w:hint="eastAsia" w:ascii="宋体" w:hAnsi="宋体" w:cs="宋体"/>
          <w:sz w:val="24"/>
          <w:highlight w:val="none"/>
          <w:lang w:eastAsia="zh-CN"/>
        </w:rPr>
        <w:t>）</w:t>
      </w:r>
      <w:r>
        <w:rPr>
          <w:rFonts w:hint="eastAsia" w:ascii="宋体" w:hAnsi="宋体" w:cs="宋体"/>
          <w:sz w:val="24"/>
          <w:highlight w:val="none"/>
        </w:rPr>
        <w:t>经营许可证经营范围或经营甲方不许经营的内容及服务；</w:t>
      </w:r>
    </w:p>
    <w:p w14:paraId="657A6D5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6</w:t>
      </w:r>
      <w:r>
        <w:rPr>
          <w:rFonts w:hint="eastAsia" w:ascii="宋体" w:hAnsi="宋体" w:cs="宋体"/>
          <w:sz w:val="24"/>
          <w:highlight w:val="none"/>
          <w:lang w:eastAsia="zh-CN"/>
        </w:rPr>
        <w:t>）</w:t>
      </w:r>
      <w:r>
        <w:rPr>
          <w:rFonts w:hint="eastAsia" w:ascii="宋体" w:hAnsi="宋体" w:cs="宋体"/>
          <w:sz w:val="24"/>
          <w:highlight w:val="none"/>
        </w:rPr>
        <w:t>合同期间发生师生食物中毒、与就餐者发生群体性冲突、安全生产责任事故和发生重大网络舆情给学校造成较大负面影响事件等；</w:t>
      </w:r>
    </w:p>
    <w:p w14:paraId="6A7B400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7</w:t>
      </w:r>
      <w:r>
        <w:rPr>
          <w:rFonts w:hint="eastAsia" w:ascii="宋体" w:hAnsi="宋体" w:cs="宋体"/>
          <w:sz w:val="24"/>
          <w:highlight w:val="none"/>
          <w:lang w:eastAsia="zh-CN"/>
        </w:rPr>
        <w:t>）</w:t>
      </w:r>
      <w:r>
        <w:rPr>
          <w:rFonts w:hint="eastAsia" w:ascii="宋体" w:hAnsi="宋体" w:cs="宋体"/>
          <w:sz w:val="24"/>
          <w:highlight w:val="none"/>
        </w:rPr>
        <w:t>因食品价格、质量、卫生和服务态度等引发的师生罢餐、静坐、游行等群发事件，影响恶劣的事件或任何一月学生投诉超过5件，严重影响学校形象的或学生投诉后乙方未积极落实并改进相关措施的；</w:t>
      </w:r>
    </w:p>
    <w:p w14:paraId="21C1B0D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8</w:t>
      </w:r>
      <w:r>
        <w:rPr>
          <w:rFonts w:hint="eastAsia" w:ascii="宋体" w:hAnsi="宋体" w:cs="宋体"/>
          <w:sz w:val="24"/>
          <w:highlight w:val="none"/>
          <w:lang w:eastAsia="zh-CN"/>
        </w:rPr>
        <w:t>）</w:t>
      </w:r>
      <w:r>
        <w:rPr>
          <w:rFonts w:hint="eastAsia" w:ascii="宋体" w:hAnsi="宋体" w:cs="宋体"/>
          <w:sz w:val="24"/>
          <w:highlight w:val="none"/>
        </w:rPr>
        <w:t>因乙方劳动纠纷、人身伤害等纠纷导致甲方承担法律责任的；</w:t>
      </w:r>
    </w:p>
    <w:p w14:paraId="4C2EC08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9</w:t>
      </w:r>
      <w:r>
        <w:rPr>
          <w:rFonts w:hint="eastAsia" w:ascii="宋体" w:hAnsi="宋体" w:cs="宋体"/>
          <w:sz w:val="24"/>
          <w:highlight w:val="none"/>
          <w:lang w:eastAsia="zh-CN"/>
        </w:rPr>
        <w:t>）</w:t>
      </w:r>
      <w:r>
        <w:rPr>
          <w:rFonts w:hint="eastAsia" w:ascii="宋体" w:hAnsi="宋体" w:cs="宋体"/>
          <w:sz w:val="24"/>
          <w:highlight w:val="none"/>
        </w:rPr>
        <w:t>乙方利用经营场所从事非法活动；</w:t>
      </w:r>
    </w:p>
    <w:p w14:paraId="370CA8C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10</w:t>
      </w:r>
      <w:r>
        <w:rPr>
          <w:rFonts w:hint="eastAsia" w:ascii="宋体" w:hAnsi="宋体" w:cs="宋体"/>
          <w:sz w:val="24"/>
          <w:highlight w:val="none"/>
          <w:lang w:eastAsia="zh-CN"/>
        </w:rPr>
        <w:t>）</w:t>
      </w:r>
      <w:r>
        <w:rPr>
          <w:rFonts w:hint="eastAsia" w:ascii="宋体" w:hAnsi="宋体" w:cs="宋体"/>
          <w:sz w:val="24"/>
          <w:highlight w:val="none"/>
        </w:rPr>
        <w:t>因乙方责任，导致在经营期限内使食堂降级为食品卫生监督量化分级管理B级资格以下的；</w:t>
      </w:r>
    </w:p>
    <w:p w14:paraId="2A2E5D0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11</w:t>
      </w:r>
      <w:r>
        <w:rPr>
          <w:rFonts w:hint="eastAsia" w:ascii="宋体" w:hAnsi="宋体" w:cs="宋体"/>
          <w:sz w:val="24"/>
          <w:highlight w:val="none"/>
          <w:lang w:eastAsia="zh-CN"/>
        </w:rPr>
        <w:t>）</w:t>
      </w:r>
      <w:r>
        <w:rPr>
          <w:rFonts w:hint="eastAsia" w:ascii="宋体" w:hAnsi="宋体" w:cs="宋体"/>
          <w:sz w:val="24"/>
          <w:highlight w:val="none"/>
        </w:rPr>
        <w:t>乙方被政府有关部门吊销相关资质，不再具备经营餐饮服务的相关条件且在60个工作日内不能获得相应资质的；</w:t>
      </w:r>
    </w:p>
    <w:p w14:paraId="56895A5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12</w:t>
      </w:r>
      <w:r>
        <w:rPr>
          <w:rFonts w:hint="eastAsia" w:ascii="宋体" w:hAnsi="宋体" w:cs="宋体"/>
          <w:sz w:val="24"/>
          <w:highlight w:val="none"/>
          <w:lang w:eastAsia="zh-CN"/>
        </w:rPr>
        <w:t>）</w:t>
      </w:r>
      <w:r>
        <w:rPr>
          <w:rFonts w:hint="eastAsia" w:ascii="宋体" w:hAnsi="宋体" w:cs="宋体"/>
          <w:sz w:val="24"/>
          <w:highlight w:val="none"/>
        </w:rPr>
        <w:t>由乙方自身原因无法继续履行合同的其他情形的。</w:t>
      </w:r>
    </w:p>
    <w:p w14:paraId="2091AF0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4、甲方有下列情形之一的，乙方有权解除合同：</w:t>
      </w:r>
    </w:p>
    <w:p w14:paraId="18902F8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1</w:t>
      </w:r>
      <w:r>
        <w:rPr>
          <w:rFonts w:hint="eastAsia" w:ascii="宋体" w:hAnsi="宋体" w:cs="宋体"/>
          <w:sz w:val="24"/>
          <w:highlight w:val="none"/>
          <w:lang w:eastAsia="zh-CN"/>
        </w:rPr>
        <w:t>）</w:t>
      </w:r>
      <w:r>
        <w:rPr>
          <w:rFonts w:hint="eastAsia" w:ascii="宋体" w:hAnsi="宋体" w:cs="宋体"/>
          <w:sz w:val="24"/>
          <w:highlight w:val="none"/>
        </w:rPr>
        <w:t>甲方延期交付经营场地30日以上；</w:t>
      </w:r>
    </w:p>
    <w:p w14:paraId="4795F27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2</w:t>
      </w:r>
      <w:r>
        <w:rPr>
          <w:rFonts w:hint="eastAsia" w:ascii="宋体" w:hAnsi="宋体" w:cs="宋体"/>
          <w:sz w:val="24"/>
          <w:highlight w:val="none"/>
          <w:lang w:eastAsia="zh-CN"/>
        </w:rPr>
        <w:t>）</w:t>
      </w:r>
      <w:r>
        <w:rPr>
          <w:rFonts w:hint="eastAsia" w:ascii="宋体" w:hAnsi="宋体" w:cs="宋体"/>
          <w:sz w:val="24"/>
          <w:highlight w:val="none"/>
        </w:rPr>
        <w:t>甲方不予协调提供水、电、煤气的；</w:t>
      </w:r>
    </w:p>
    <w:p w14:paraId="5F60A55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3</w:t>
      </w:r>
      <w:r>
        <w:rPr>
          <w:rFonts w:hint="eastAsia" w:ascii="宋体" w:hAnsi="宋体" w:cs="宋体"/>
          <w:sz w:val="24"/>
          <w:highlight w:val="none"/>
          <w:lang w:eastAsia="zh-CN"/>
        </w:rPr>
        <w:t>）</w:t>
      </w:r>
      <w:r>
        <w:rPr>
          <w:rFonts w:hint="eastAsia" w:ascii="宋体" w:hAnsi="宋体" w:cs="宋体"/>
          <w:sz w:val="24"/>
          <w:highlight w:val="none"/>
        </w:rPr>
        <w:t>甲方在职责范围内不协助办理乙方办理相关证照的；</w:t>
      </w:r>
    </w:p>
    <w:p w14:paraId="1AE2FB6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5、因乙方违规等原因致使甲方被市场监管局、环保、城管等政府部门处罚，乙方应承担相应的经济和法律责任；情节严重的，甲方有权单方面解除合同，且有权没收履约保证金或将保证金用于罚金及事故善后事宜。</w:t>
      </w:r>
    </w:p>
    <w:p w14:paraId="7339224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6、在甲方要求的供餐期间内，乙方必须保证饮食供应，若未经甲方允许无故停餐，每停餐一天，乙方向甲方支付违约金壹万元，并赔偿由此造成的甲方损失。若累计停餐时间达三天，则甲方有权单方终止合同，且履约保证金不予退还。寒、暑假期间，乙方有义务根据学校的安排开餐，不服从学校假期开餐安排的视为违约，应向甲方支付违约金2-10万元。</w:t>
      </w:r>
    </w:p>
    <w:p w14:paraId="72095AD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7、乙方违反合同规定使用或装修改造过程中给甲方造成损失的，应按照实际造成的损失承担赔偿责任。</w:t>
      </w:r>
    </w:p>
    <w:p w14:paraId="0746E12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8、合同约定期限届满或解除的，乙方应使所有的装修</w:t>
      </w:r>
      <w:r>
        <w:rPr>
          <w:rFonts w:hint="eastAsia" w:ascii="宋体" w:hAnsi="宋体" w:cs="宋体"/>
          <w:sz w:val="24"/>
          <w:highlight w:val="none"/>
          <w:lang w:eastAsia="zh-CN"/>
        </w:rPr>
        <w:t>（</w:t>
      </w:r>
      <w:r>
        <w:rPr>
          <w:rFonts w:hint="eastAsia" w:ascii="宋体" w:hAnsi="宋体" w:cs="宋体"/>
          <w:sz w:val="24"/>
          <w:highlight w:val="none"/>
        </w:rPr>
        <w:t>地面、墙面、天花、厨房、备餐间、餐厅等</w:t>
      </w:r>
      <w:r>
        <w:rPr>
          <w:rFonts w:hint="eastAsia" w:ascii="宋体" w:hAnsi="宋体" w:cs="宋体"/>
          <w:sz w:val="24"/>
          <w:highlight w:val="none"/>
          <w:lang w:eastAsia="zh-CN"/>
        </w:rPr>
        <w:t>）</w:t>
      </w:r>
      <w:r>
        <w:rPr>
          <w:rFonts w:hint="eastAsia" w:ascii="宋体" w:hAnsi="宋体" w:cs="宋体"/>
          <w:sz w:val="24"/>
          <w:highlight w:val="none"/>
        </w:rPr>
        <w:t>保存完好，不得拆除或破坏，否则扣除履约保证金以赔偿拆除或破坏装修所造成的损失。乙方在合同终止之日起5日内退场完毕，并将中标后投资增加的设施、设备和装修全部无偿交付于甲方。甲方应在乙方清场完毕后实地验收确认。在验收确认后10日工作日内甲方应把收取的履约保证金扣除乙方应付款项，余额如数退回给乙方</w:t>
      </w:r>
      <w:r>
        <w:rPr>
          <w:rFonts w:hint="eastAsia" w:ascii="宋体" w:hAnsi="宋体" w:cs="宋体"/>
          <w:sz w:val="24"/>
          <w:highlight w:val="none"/>
          <w:lang w:eastAsia="zh-CN"/>
        </w:rPr>
        <w:t>（</w:t>
      </w:r>
      <w:r>
        <w:rPr>
          <w:rFonts w:hint="eastAsia" w:ascii="宋体" w:hAnsi="宋体" w:cs="宋体"/>
          <w:sz w:val="24"/>
          <w:highlight w:val="none"/>
        </w:rPr>
        <w:t>不计利息</w:t>
      </w:r>
      <w:r>
        <w:rPr>
          <w:rFonts w:hint="eastAsia" w:ascii="宋体" w:hAnsi="宋体" w:cs="宋体"/>
          <w:sz w:val="24"/>
          <w:highlight w:val="none"/>
          <w:lang w:eastAsia="zh-CN"/>
        </w:rPr>
        <w:t>）</w:t>
      </w:r>
      <w:r>
        <w:rPr>
          <w:rFonts w:hint="eastAsia" w:ascii="宋体" w:hAnsi="宋体" w:cs="宋体"/>
          <w:sz w:val="24"/>
          <w:highlight w:val="none"/>
        </w:rPr>
        <w:t>。</w:t>
      </w:r>
    </w:p>
    <w:p w14:paraId="0A556C53">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十四、争议的解决方式</w:t>
      </w:r>
    </w:p>
    <w:p w14:paraId="5C92D7F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合同发生纠纷时，双方应协商解决，协商不成提交济南仲裁委员会仲裁。</w:t>
      </w:r>
    </w:p>
    <w:p w14:paraId="5B71AAA2">
      <w:pPr>
        <w:keepNext w:val="0"/>
        <w:keepLines w:val="0"/>
        <w:pageBreakBefore w:val="0"/>
        <w:widowControl/>
        <w:kinsoku/>
        <w:overflowPunct/>
        <w:topLinePunct w:val="0"/>
        <w:bidi w:val="0"/>
        <w:adjustRightInd w:val="0"/>
        <w:snapToGrid w:val="0"/>
        <w:spacing w:line="360" w:lineRule="auto"/>
        <w:ind w:firstLine="482" w:firstLineChars="200"/>
        <w:jc w:val="left"/>
        <w:rPr>
          <w:rFonts w:hint="default"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十五、签订时间</w:t>
      </w:r>
    </w:p>
    <w:p w14:paraId="1A56AF1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仿宋_GB2312"/>
          <w:kern w:val="0"/>
          <w:sz w:val="24"/>
          <w:highlight w:val="none"/>
        </w:rPr>
        <w:t>本合同于</w:t>
      </w:r>
      <w:bookmarkStart w:id="0" w:name="makeContractDate"/>
      <w:r>
        <w:rPr>
          <w:rFonts w:hint="eastAsia" w:ascii="宋体" w:hAnsi="宋体" w:cs="仿宋_GB2312"/>
          <w:kern w:val="0"/>
          <w:sz w:val="24"/>
          <w:highlight w:val="none"/>
          <w:u w:val="single"/>
          <w:lang w:eastAsia="zh-CN"/>
        </w:rPr>
        <w:t>2026年</w:t>
      </w:r>
      <w:r>
        <w:rPr>
          <w:rFonts w:ascii="宋体" w:hAnsi="宋体" w:cs="仿宋_GB2312"/>
          <w:kern w:val="0"/>
          <w:sz w:val="24"/>
          <w:highlight w:val="none"/>
          <w:u w:val="single"/>
        </w:rPr>
        <w:t xml:space="preserve"> 月 日</w:t>
      </w:r>
      <w:bookmarkEnd w:id="0"/>
      <w:r>
        <w:rPr>
          <w:rFonts w:hint="eastAsia" w:ascii="宋体" w:hAnsi="宋体" w:cs="仿宋_GB2312"/>
          <w:kern w:val="0"/>
          <w:sz w:val="24"/>
          <w:highlight w:val="none"/>
        </w:rPr>
        <w:t>签订。</w:t>
      </w:r>
    </w:p>
    <w:p w14:paraId="19C927AA">
      <w:pPr>
        <w:keepNext w:val="0"/>
        <w:keepLines w:val="0"/>
        <w:pageBreakBefore w:val="0"/>
        <w:widowControl/>
        <w:kinsoku/>
        <w:overflowPunct/>
        <w:topLinePunct w:val="0"/>
        <w:bidi w:val="0"/>
        <w:adjustRightInd w:val="0"/>
        <w:snapToGrid w:val="0"/>
        <w:spacing w:line="360" w:lineRule="auto"/>
        <w:ind w:firstLine="482" w:firstLineChars="200"/>
        <w:jc w:val="left"/>
        <w:rPr>
          <w:rFonts w:ascii="宋体" w:cs="仿宋_GB2312"/>
          <w:b/>
          <w:bCs/>
          <w:kern w:val="0"/>
          <w:sz w:val="24"/>
          <w:highlight w:val="none"/>
        </w:rPr>
      </w:pPr>
      <w:r>
        <w:rPr>
          <w:rFonts w:hint="eastAsia" w:ascii="宋体" w:hAnsi="宋体" w:cs="仿宋_GB2312"/>
          <w:b/>
          <w:bCs/>
          <w:kern w:val="0"/>
          <w:sz w:val="24"/>
          <w:highlight w:val="none"/>
        </w:rPr>
        <w:t>十</w:t>
      </w:r>
      <w:r>
        <w:rPr>
          <w:rFonts w:hint="eastAsia" w:ascii="宋体" w:hAnsi="宋体" w:eastAsia="宋体" w:cs="仿宋_GB2312"/>
          <w:b/>
          <w:bCs/>
          <w:kern w:val="0"/>
          <w:sz w:val="24"/>
          <w:highlight w:val="none"/>
          <w:lang w:val="en-US" w:eastAsia="zh-CN"/>
        </w:rPr>
        <w:t>六</w:t>
      </w:r>
      <w:r>
        <w:rPr>
          <w:rFonts w:hint="eastAsia" w:ascii="宋体" w:hAnsi="宋体" w:cs="仿宋_GB2312"/>
          <w:b/>
          <w:bCs/>
          <w:kern w:val="0"/>
          <w:sz w:val="24"/>
          <w:highlight w:val="none"/>
        </w:rPr>
        <w:t>、签订地点</w:t>
      </w:r>
    </w:p>
    <w:p w14:paraId="4AE2808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仿宋_GB2312"/>
          <w:kern w:val="0"/>
          <w:sz w:val="24"/>
          <w:highlight w:val="none"/>
        </w:rPr>
        <w:t>本合同在</w:t>
      </w:r>
      <w:r>
        <w:rPr>
          <w:rFonts w:hint="eastAsia" w:ascii="宋体" w:hAnsi="宋体" w:cs="仿宋_GB2312"/>
          <w:kern w:val="0"/>
          <w:sz w:val="24"/>
          <w:highlight w:val="none"/>
          <w:u w:val="single"/>
        </w:rPr>
        <w:t>山东第一医科大学</w:t>
      </w:r>
      <w:r>
        <w:rPr>
          <w:rFonts w:hint="eastAsia" w:ascii="宋体" w:hAnsi="宋体" w:cs="仿宋_GB2312"/>
          <w:kern w:val="0"/>
          <w:sz w:val="24"/>
          <w:highlight w:val="none"/>
        </w:rPr>
        <w:t>签订。</w:t>
      </w:r>
    </w:p>
    <w:p w14:paraId="54A35F7E">
      <w:pPr>
        <w:keepNext w:val="0"/>
        <w:keepLines w:val="0"/>
        <w:pageBreakBefore w:val="0"/>
        <w:widowControl/>
        <w:kinsoku/>
        <w:overflowPunct/>
        <w:topLinePunct w:val="0"/>
        <w:bidi w:val="0"/>
        <w:adjustRightInd w:val="0"/>
        <w:snapToGrid w:val="0"/>
        <w:spacing w:line="360" w:lineRule="auto"/>
        <w:ind w:firstLine="482" w:firstLineChars="200"/>
        <w:jc w:val="left"/>
        <w:rPr>
          <w:rFonts w:ascii="宋体" w:cs="仿宋_GB2312"/>
          <w:b/>
          <w:bCs/>
          <w:kern w:val="0"/>
          <w:sz w:val="24"/>
          <w:highlight w:val="none"/>
        </w:rPr>
      </w:pPr>
      <w:r>
        <w:rPr>
          <w:rFonts w:hint="eastAsia" w:ascii="宋体" w:hAnsi="宋体" w:eastAsia="宋体" w:cs="宋体"/>
          <w:b/>
          <w:bCs/>
          <w:sz w:val="24"/>
          <w:highlight w:val="none"/>
          <w:lang w:val="en-US" w:eastAsia="zh-CN"/>
        </w:rPr>
        <w:t>十七、</w:t>
      </w:r>
      <w:r>
        <w:rPr>
          <w:rFonts w:hint="eastAsia" w:ascii="宋体" w:hAnsi="宋体" w:cs="仿宋_GB2312"/>
          <w:b/>
          <w:bCs/>
          <w:kern w:val="0"/>
          <w:sz w:val="24"/>
          <w:highlight w:val="none"/>
        </w:rPr>
        <w:t>补充协议</w:t>
      </w:r>
    </w:p>
    <w:p w14:paraId="3E18CC6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cs="仿宋_GB2312"/>
          <w:kern w:val="0"/>
          <w:sz w:val="24"/>
          <w:highlight w:val="none"/>
        </w:rPr>
        <w:t>合同未尽事宜，合同当事人另行签订补充协议，补充协议是合同的组成部分。</w:t>
      </w:r>
    </w:p>
    <w:p w14:paraId="58160104">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十</w:t>
      </w:r>
      <w:r>
        <w:rPr>
          <w:rFonts w:hint="eastAsia" w:ascii="宋体" w:hAnsi="宋体" w:eastAsia="宋体" w:cs="宋体"/>
          <w:b/>
          <w:bCs/>
          <w:sz w:val="24"/>
          <w:highlight w:val="none"/>
          <w:lang w:val="en-US" w:eastAsia="zh-CN"/>
        </w:rPr>
        <w:t>八</w:t>
      </w:r>
      <w:r>
        <w:rPr>
          <w:rFonts w:hint="eastAsia" w:ascii="宋体" w:hAnsi="宋体" w:cs="宋体"/>
          <w:b/>
          <w:bCs/>
          <w:sz w:val="24"/>
          <w:highlight w:val="none"/>
        </w:rPr>
        <w:t>、合同生效</w:t>
      </w:r>
    </w:p>
    <w:p w14:paraId="19C2921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本合同经甲乙双方签字盖章后生效。</w:t>
      </w:r>
    </w:p>
    <w:p w14:paraId="1CAD9CC5">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十</w:t>
      </w:r>
      <w:r>
        <w:rPr>
          <w:rFonts w:hint="eastAsia" w:ascii="宋体" w:hAnsi="宋体" w:eastAsia="宋体" w:cs="宋体"/>
          <w:b/>
          <w:bCs/>
          <w:sz w:val="24"/>
          <w:highlight w:val="none"/>
          <w:lang w:val="en-US" w:eastAsia="zh-CN"/>
        </w:rPr>
        <w:t>九</w:t>
      </w:r>
      <w:r>
        <w:rPr>
          <w:rFonts w:hint="eastAsia" w:ascii="宋体" w:hAnsi="宋体" w:cs="宋体"/>
          <w:b/>
          <w:bCs/>
          <w:sz w:val="24"/>
          <w:highlight w:val="none"/>
        </w:rPr>
        <w:t>、合同附件</w:t>
      </w:r>
    </w:p>
    <w:p w14:paraId="6273EC4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附件1</w:t>
      </w:r>
      <w:r>
        <w:rPr>
          <w:rFonts w:hint="eastAsia" w:ascii="宋体" w:hAnsi="宋体" w:eastAsia="宋体" w:cs="宋体"/>
          <w:sz w:val="24"/>
          <w:highlight w:val="none"/>
          <w:lang w:eastAsia="zh-CN"/>
        </w:rPr>
        <w:t>、</w:t>
      </w:r>
      <w:r>
        <w:rPr>
          <w:rFonts w:hint="eastAsia" w:ascii="宋体" w:hAnsi="宋体" w:cs="宋体"/>
          <w:sz w:val="24"/>
          <w:highlight w:val="none"/>
        </w:rPr>
        <w:t>项目拟投入人员情况一览表</w:t>
      </w:r>
    </w:p>
    <w:p w14:paraId="5C6016B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附件2</w:t>
      </w:r>
      <w:r>
        <w:rPr>
          <w:rFonts w:hint="eastAsia" w:ascii="宋体" w:hAnsi="宋体" w:eastAsia="宋体" w:cs="宋体"/>
          <w:sz w:val="24"/>
          <w:highlight w:val="none"/>
          <w:lang w:eastAsia="zh-CN"/>
        </w:rPr>
        <w:t>、</w:t>
      </w:r>
      <w:r>
        <w:rPr>
          <w:rFonts w:hint="eastAsia" w:ascii="宋体" w:hAnsi="宋体" w:cs="宋体"/>
          <w:sz w:val="24"/>
          <w:highlight w:val="none"/>
        </w:rPr>
        <w:t>乙方服务承诺</w:t>
      </w:r>
    </w:p>
    <w:p w14:paraId="525557A5">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宋体"/>
          <w:sz w:val="24"/>
          <w:highlight w:val="none"/>
          <w:lang w:val="en-US" w:eastAsia="zh-CN"/>
        </w:rPr>
      </w:pPr>
      <w:r>
        <w:rPr>
          <w:rFonts w:hint="eastAsia" w:ascii="宋体" w:hAnsi="宋体" w:cs="宋体"/>
          <w:sz w:val="24"/>
          <w:highlight w:val="none"/>
        </w:rPr>
        <w:t>附件3</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考核管理办法</w:t>
      </w:r>
    </w:p>
    <w:p w14:paraId="62FBA7F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附件</w:t>
      </w:r>
      <w:r>
        <w:rPr>
          <w:rFonts w:hint="eastAsia" w:ascii="宋体" w:hAnsi="宋体" w:eastAsia="宋体" w:cs="宋体"/>
          <w:sz w:val="24"/>
          <w:highlight w:val="none"/>
          <w:lang w:val="en-US" w:eastAsia="zh-CN"/>
        </w:rPr>
        <w:t>4、</w:t>
      </w:r>
      <w:r>
        <w:rPr>
          <w:rFonts w:hint="eastAsia" w:ascii="宋体" w:hAnsi="宋体" w:cs="宋体"/>
          <w:sz w:val="24"/>
          <w:highlight w:val="none"/>
        </w:rPr>
        <w:t>资产交接、保管清单</w:t>
      </w:r>
    </w:p>
    <w:p w14:paraId="62142757">
      <w:pPr>
        <w:keepNext w:val="0"/>
        <w:keepLines w:val="0"/>
        <w:pageBreakBefore w:val="0"/>
        <w:widowControl/>
        <w:kinsoku/>
        <w:overflowPunct/>
        <w:topLinePunct w:val="0"/>
        <w:bidi w:val="0"/>
        <w:adjustRightInd w:val="0"/>
        <w:snapToGrid w:val="0"/>
        <w:spacing w:line="360" w:lineRule="auto"/>
        <w:ind w:firstLine="482" w:firstLineChars="200"/>
        <w:jc w:val="left"/>
        <w:rPr>
          <w:rFonts w:hint="eastAsia" w:ascii="宋体" w:hAnsi="宋体" w:eastAsia="宋体" w:cs="宋体"/>
          <w:b/>
          <w:bCs/>
          <w:sz w:val="24"/>
          <w:highlight w:val="none"/>
          <w:lang w:eastAsia="zh-CN"/>
        </w:rPr>
      </w:pPr>
      <w:r>
        <w:rPr>
          <w:rFonts w:hint="eastAsia" w:ascii="宋体" w:hAnsi="宋体" w:eastAsia="宋体" w:cs="宋体"/>
          <w:b/>
          <w:bCs/>
          <w:sz w:val="24"/>
          <w:highlight w:val="none"/>
          <w:lang w:val="en-US" w:eastAsia="zh-CN"/>
        </w:rPr>
        <w:t>二十</w:t>
      </w:r>
      <w:r>
        <w:rPr>
          <w:rFonts w:hint="eastAsia" w:ascii="宋体" w:hAnsi="宋体" w:cs="宋体"/>
          <w:b/>
          <w:bCs/>
          <w:sz w:val="24"/>
          <w:highlight w:val="none"/>
        </w:rPr>
        <w:t>、合同</w:t>
      </w:r>
      <w:r>
        <w:rPr>
          <w:rFonts w:hint="eastAsia" w:ascii="宋体" w:hAnsi="宋体" w:eastAsia="宋体" w:cs="宋体"/>
          <w:b/>
          <w:bCs/>
          <w:sz w:val="24"/>
          <w:highlight w:val="none"/>
          <w:lang w:val="en-US" w:eastAsia="zh-CN"/>
        </w:rPr>
        <w:t>份数</w:t>
      </w:r>
    </w:p>
    <w:p w14:paraId="5F68963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本合同一式柒份，均具有同等法律效力，甲方执肆份，乙方执壹份，代理机构贰份。</w:t>
      </w:r>
    </w:p>
    <w:tbl>
      <w:tblPr>
        <w:tblStyle w:val="11"/>
        <w:tblW w:w="4864" w:type="pct"/>
        <w:jc w:val="center"/>
        <w:tblLayout w:type="autofit"/>
        <w:tblCellMar>
          <w:top w:w="0" w:type="dxa"/>
          <w:left w:w="108" w:type="dxa"/>
          <w:bottom w:w="0" w:type="dxa"/>
          <w:right w:w="108" w:type="dxa"/>
        </w:tblCellMar>
      </w:tblPr>
      <w:tblGrid>
        <w:gridCol w:w="4034"/>
        <w:gridCol w:w="4256"/>
      </w:tblGrid>
      <w:tr w14:paraId="40BFDF11">
        <w:tblPrEx>
          <w:tblCellMar>
            <w:top w:w="0" w:type="dxa"/>
            <w:left w:w="108" w:type="dxa"/>
            <w:bottom w:w="0" w:type="dxa"/>
            <w:right w:w="108" w:type="dxa"/>
          </w:tblCellMar>
        </w:tblPrEx>
        <w:trPr>
          <w:trHeight w:val="858" w:hRule="atLeast"/>
          <w:jc w:val="center"/>
        </w:trPr>
        <w:tc>
          <w:tcPr>
            <w:tcW w:w="4586" w:type="dxa"/>
            <w:noWrap w:val="0"/>
            <w:vAlign w:val="center"/>
          </w:tcPr>
          <w:p w14:paraId="7B034953">
            <w:pPr>
              <w:pStyle w:val="4"/>
              <w:keepNext w:val="0"/>
              <w:keepLines w:val="0"/>
              <w:pageBreakBefore w:val="0"/>
              <w:kinsoku/>
              <w:overflowPunct/>
              <w:topLinePunct w:val="0"/>
              <w:bidi w:val="0"/>
              <w:rPr>
                <w:rFonts w:hint="eastAsia" w:ascii="宋体" w:hAnsi="宋体" w:eastAsia="宋体" w:cs="宋体"/>
                <w:sz w:val="24"/>
                <w:highlight w:val="none"/>
                <w:lang w:eastAsia="zh-CN"/>
              </w:rPr>
            </w:pPr>
            <w:r>
              <w:rPr>
                <w:rFonts w:hint="eastAsia" w:ascii="宋体" w:hAnsi="宋体" w:cs="宋体"/>
                <w:sz w:val="24"/>
                <w:highlight w:val="none"/>
              </w:rPr>
              <w:t>甲方：山东第一医科大学</w:t>
            </w:r>
            <w:r>
              <w:rPr>
                <w:rFonts w:hint="eastAsia" w:ascii="宋体" w:hAnsi="宋体" w:cs="宋体"/>
                <w:sz w:val="24"/>
                <w:highlight w:val="none"/>
                <w:lang w:eastAsia="zh-CN"/>
              </w:rPr>
              <w:t>（</w:t>
            </w:r>
            <w:r>
              <w:rPr>
                <w:rFonts w:hint="eastAsia" w:ascii="宋体" w:hAnsi="宋体" w:cs="宋体"/>
                <w:sz w:val="24"/>
                <w:highlight w:val="none"/>
              </w:rPr>
              <w:t>盖章</w:t>
            </w:r>
            <w:r>
              <w:rPr>
                <w:rFonts w:hint="eastAsia" w:ascii="宋体" w:hAnsi="宋体" w:cs="宋体"/>
                <w:sz w:val="24"/>
                <w:highlight w:val="none"/>
                <w:lang w:eastAsia="zh-CN"/>
              </w:rPr>
              <w:t>）</w:t>
            </w:r>
          </w:p>
        </w:tc>
        <w:tc>
          <w:tcPr>
            <w:tcW w:w="5036" w:type="dxa"/>
            <w:noWrap w:val="0"/>
            <w:vAlign w:val="center"/>
          </w:tcPr>
          <w:p w14:paraId="34F14BF6">
            <w:pPr>
              <w:keepNext w:val="0"/>
              <w:keepLines w:val="0"/>
              <w:pageBreakBefore w:val="0"/>
              <w:kinsoku/>
              <w:overflowPunct/>
              <w:topLinePunct w:val="0"/>
              <w:bidi w:val="0"/>
              <w:spacing w:line="360" w:lineRule="auto"/>
              <w:ind w:left="-2" w:leftChars="-1"/>
              <w:rPr>
                <w:rFonts w:hint="eastAsia" w:ascii="宋体" w:hAnsi="宋体" w:eastAsia="宋体" w:cs="宋体"/>
                <w:sz w:val="24"/>
                <w:highlight w:val="none"/>
                <w:lang w:eastAsia="zh-CN"/>
              </w:rPr>
            </w:pPr>
            <w:r>
              <w:rPr>
                <w:rFonts w:hint="eastAsia" w:ascii="宋体" w:hAnsi="宋体" w:cs="宋体"/>
                <w:sz w:val="24"/>
                <w:highlight w:val="none"/>
              </w:rPr>
              <w:t xml:space="preserve">乙方：  </w:t>
            </w:r>
            <w:r>
              <w:rPr>
                <w:rFonts w:ascii="宋体" w:hAnsi="宋体" w:cs="宋体"/>
                <w:sz w:val="24"/>
                <w:highlight w:val="none"/>
              </w:rPr>
              <w:t xml:space="preserve">                 </w:t>
            </w:r>
            <w:r>
              <w:rPr>
                <w:rFonts w:hint="eastAsia" w:ascii="宋体" w:hAnsi="宋体" w:cs="宋体"/>
                <w:sz w:val="24"/>
                <w:highlight w:val="none"/>
                <w:lang w:eastAsia="zh-CN"/>
              </w:rPr>
              <w:t>（</w:t>
            </w:r>
            <w:r>
              <w:rPr>
                <w:rFonts w:hint="eastAsia" w:ascii="宋体" w:hAnsi="宋体" w:cs="宋体"/>
                <w:sz w:val="24"/>
                <w:highlight w:val="none"/>
              </w:rPr>
              <w:t>盖章</w:t>
            </w:r>
            <w:r>
              <w:rPr>
                <w:rFonts w:hint="eastAsia" w:ascii="宋体" w:hAnsi="宋体" w:cs="宋体"/>
                <w:sz w:val="24"/>
                <w:highlight w:val="none"/>
                <w:lang w:eastAsia="zh-CN"/>
              </w:rPr>
              <w:t>）</w:t>
            </w:r>
          </w:p>
        </w:tc>
      </w:tr>
      <w:tr w14:paraId="59E53727">
        <w:tblPrEx>
          <w:tblCellMar>
            <w:top w:w="0" w:type="dxa"/>
            <w:left w:w="108" w:type="dxa"/>
            <w:bottom w:w="0" w:type="dxa"/>
            <w:right w:w="108" w:type="dxa"/>
          </w:tblCellMar>
        </w:tblPrEx>
        <w:trPr>
          <w:trHeight w:val="1088" w:hRule="atLeast"/>
          <w:jc w:val="center"/>
        </w:trPr>
        <w:tc>
          <w:tcPr>
            <w:tcW w:w="4586" w:type="dxa"/>
            <w:noWrap w:val="0"/>
            <w:vAlign w:val="center"/>
          </w:tcPr>
          <w:p w14:paraId="59CA0331">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法定代表人：</w:t>
            </w:r>
          </w:p>
          <w:p w14:paraId="3BF18D00">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（签字或签章）</w:t>
            </w:r>
          </w:p>
        </w:tc>
        <w:tc>
          <w:tcPr>
            <w:tcW w:w="5036" w:type="dxa"/>
            <w:noWrap w:val="0"/>
            <w:vAlign w:val="center"/>
          </w:tcPr>
          <w:p w14:paraId="3D9D242C">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法定代表人：</w:t>
            </w:r>
          </w:p>
          <w:p w14:paraId="3A6E4014">
            <w:pPr>
              <w:keepNext w:val="0"/>
              <w:keepLines w:val="0"/>
              <w:pageBreakBefore w:val="0"/>
              <w:kinsoku/>
              <w:overflowPunct/>
              <w:topLinePunct w:val="0"/>
              <w:bidi w:val="0"/>
              <w:spacing w:line="360" w:lineRule="auto"/>
              <w:ind w:left="-2" w:leftChars="-1"/>
              <w:rPr>
                <w:rFonts w:ascii="宋体" w:hAnsi="宋体" w:cs="宋体"/>
                <w:sz w:val="24"/>
                <w:highlight w:val="none"/>
              </w:rPr>
            </w:pPr>
            <w:r>
              <w:rPr>
                <w:rFonts w:hint="eastAsia" w:ascii="宋体" w:hAnsi="宋体" w:cs="宋体"/>
                <w:sz w:val="24"/>
                <w:highlight w:val="none"/>
              </w:rPr>
              <w:t>（签字或签章）</w:t>
            </w:r>
          </w:p>
        </w:tc>
      </w:tr>
      <w:tr w14:paraId="036131E3">
        <w:tblPrEx>
          <w:tblCellMar>
            <w:top w:w="0" w:type="dxa"/>
            <w:left w:w="108" w:type="dxa"/>
            <w:bottom w:w="0" w:type="dxa"/>
            <w:right w:w="108" w:type="dxa"/>
          </w:tblCellMar>
        </w:tblPrEx>
        <w:trPr>
          <w:trHeight w:val="559" w:hRule="atLeast"/>
          <w:jc w:val="center"/>
        </w:trPr>
        <w:tc>
          <w:tcPr>
            <w:tcW w:w="4586" w:type="dxa"/>
            <w:noWrap w:val="0"/>
            <w:vAlign w:val="center"/>
          </w:tcPr>
          <w:p w14:paraId="5994AC14">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 xml:space="preserve">住所：济南市槐荫区青岛路6699号 </w:t>
            </w:r>
          </w:p>
        </w:tc>
        <w:tc>
          <w:tcPr>
            <w:tcW w:w="5036" w:type="dxa"/>
            <w:noWrap w:val="0"/>
            <w:vAlign w:val="center"/>
          </w:tcPr>
          <w:p w14:paraId="04130FC7">
            <w:pPr>
              <w:pStyle w:val="4"/>
              <w:keepNext w:val="0"/>
              <w:keepLines w:val="0"/>
              <w:pageBreakBefore w:val="0"/>
              <w:kinsoku/>
              <w:overflowPunct/>
              <w:topLinePunct w:val="0"/>
              <w:bidi w:val="0"/>
              <w:ind w:left="720" w:hanging="720" w:hangingChars="300"/>
              <w:rPr>
                <w:rFonts w:ascii="宋体" w:hAnsi="宋体" w:cs="宋体"/>
                <w:sz w:val="24"/>
                <w:highlight w:val="none"/>
              </w:rPr>
            </w:pPr>
            <w:r>
              <w:rPr>
                <w:rFonts w:hint="eastAsia" w:ascii="宋体" w:hAnsi="宋体" w:cs="宋体"/>
                <w:sz w:val="24"/>
                <w:highlight w:val="none"/>
              </w:rPr>
              <w:t xml:space="preserve">住所： </w:t>
            </w:r>
            <w:r>
              <w:rPr>
                <w:rFonts w:ascii="宋体" w:hAnsi="宋体" w:cs="宋体"/>
                <w:sz w:val="24"/>
                <w:highlight w:val="none"/>
              </w:rPr>
              <w:t xml:space="preserve">             </w:t>
            </w:r>
          </w:p>
        </w:tc>
      </w:tr>
      <w:tr w14:paraId="5C228DB0">
        <w:tblPrEx>
          <w:tblCellMar>
            <w:top w:w="0" w:type="dxa"/>
            <w:left w:w="108" w:type="dxa"/>
            <w:bottom w:w="0" w:type="dxa"/>
            <w:right w:w="108" w:type="dxa"/>
          </w:tblCellMar>
        </w:tblPrEx>
        <w:trPr>
          <w:trHeight w:val="571" w:hRule="atLeast"/>
          <w:jc w:val="center"/>
        </w:trPr>
        <w:tc>
          <w:tcPr>
            <w:tcW w:w="4586" w:type="dxa"/>
            <w:noWrap w:val="0"/>
            <w:vAlign w:val="center"/>
          </w:tcPr>
          <w:p w14:paraId="199A82C0">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电 话：0538-6229987</w:t>
            </w:r>
          </w:p>
        </w:tc>
        <w:tc>
          <w:tcPr>
            <w:tcW w:w="5036" w:type="dxa"/>
            <w:noWrap w:val="0"/>
            <w:vAlign w:val="center"/>
          </w:tcPr>
          <w:p w14:paraId="166AD0E6">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电 话：</w:t>
            </w:r>
            <w:r>
              <w:rPr>
                <w:rFonts w:ascii="宋体" w:hAnsi="宋体" w:cs="宋体"/>
                <w:sz w:val="24"/>
                <w:highlight w:val="none"/>
              </w:rPr>
              <w:t xml:space="preserve"> </w:t>
            </w:r>
            <w:r>
              <w:rPr>
                <w:rFonts w:hint="eastAsia" w:ascii="宋体" w:hAnsi="宋体" w:cs="宋体"/>
                <w:sz w:val="24"/>
                <w:highlight w:val="none"/>
              </w:rPr>
              <w:t xml:space="preserve"> </w:t>
            </w:r>
            <w:r>
              <w:rPr>
                <w:rFonts w:ascii="宋体" w:hAnsi="宋体" w:cs="宋体"/>
                <w:sz w:val="24"/>
                <w:highlight w:val="none"/>
              </w:rPr>
              <w:t xml:space="preserve">            </w:t>
            </w:r>
          </w:p>
        </w:tc>
      </w:tr>
      <w:tr w14:paraId="7AE3B6DE">
        <w:tblPrEx>
          <w:tblCellMar>
            <w:top w:w="0" w:type="dxa"/>
            <w:left w:w="108" w:type="dxa"/>
            <w:bottom w:w="0" w:type="dxa"/>
            <w:right w:w="108" w:type="dxa"/>
          </w:tblCellMar>
        </w:tblPrEx>
        <w:trPr>
          <w:trHeight w:val="797" w:hRule="atLeast"/>
          <w:jc w:val="center"/>
        </w:trPr>
        <w:tc>
          <w:tcPr>
            <w:tcW w:w="4586" w:type="dxa"/>
            <w:noWrap w:val="0"/>
            <w:vAlign w:val="center"/>
          </w:tcPr>
          <w:p w14:paraId="76B14F40">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开户银行：中国农业银行股份有限公司</w:t>
            </w:r>
          </w:p>
          <w:p w14:paraId="7C034065">
            <w:pPr>
              <w:pStyle w:val="4"/>
              <w:keepNext w:val="0"/>
              <w:keepLines w:val="0"/>
              <w:pageBreakBefore w:val="0"/>
              <w:kinsoku/>
              <w:overflowPunct/>
              <w:topLinePunct w:val="0"/>
              <w:bidi w:val="0"/>
              <w:ind w:firstLine="1200" w:firstLineChars="500"/>
              <w:rPr>
                <w:rFonts w:ascii="宋体" w:hAnsi="宋体" w:cs="宋体"/>
                <w:sz w:val="24"/>
                <w:highlight w:val="none"/>
              </w:rPr>
            </w:pPr>
            <w:r>
              <w:rPr>
                <w:rFonts w:hint="eastAsia" w:ascii="宋体" w:hAnsi="宋体" w:cs="宋体"/>
                <w:sz w:val="24"/>
                <w:highlight w:val="none"/>
              </w:rPr>
              <w:t>泰安旅游开发区分理处</w:t>
            </w:r>
          </w:p>
        </w:tc>
        <w:tc>
          <w:tcPr>
            <w:tcW w:w="5036" w:type="dxa"/>
            <w:noWrap w:val="0"/>
            <w:vAlign w:val="center"/>
          </w:tcPr>
          <w:p w14:paraId="0763333E">
            <w:pPr>
              <w:pStyle w:val="4"/>
              <w:keepNext w:val="0"/>
              <w:keepLines w:val="0"/>
              <w:pageBreakBefore w:val="0"/>
              <w:kinsoku/>
              <w:overflowPunct/>
              <w:topLinePunct w:val="0"/>
              <w:bidi w:val="0"/>
              <w:ind w:left="1200" w:hanging="1200" w:hangingChars="500"/>
              <w:rPr>
                <w:rFonts w:ascii="宋体" w:hAnsi="宋体" w:cs="宋体"/>
                <w:sz w:val="24"/>
                <w:highlight w:val="none"/>
              </w:rPr>
            </w:pPr>
            <w:r>
              <w:rPr>
                <w:rFonts w:hint="eastAsia" w:ascii="宋体" w:hAnsi="宋体" w:cs="宋体"/>
                <w:sz w:val="24"/>
                <w:highlight w:val="none"/>
              </w:rPr>
              <w:t xml:space="preserve">开户银行： </w:t>
            </w:r>
            <w:r>
              <w:rPr>
                <w:rFonts w:ascii="宋体" w:hAnsi="宋体" w:cs="宋体"/>
                <w:sz w:val="24"/>
                <w:highlight w:val="none"/>
              </w:rPr>
              <w:t xml:space="preserve">  </w:t>
            </w:r>
          </w:p>
        </w:tc>
      </w:tr>
      <w:tr w14:paraId="0957E58B">
        <w:tblPrEx>
          <w:tblCellMar>
            <w:top w:w="0" w:type="dxa"/>
            <w:left w:w="108" w:type="dxa"/>
            <w:bottom w:w="0" w:type="dxa"/>
            <w:right w:w="108" w:type="dxa"/>
          </w:tblCellMar>
        </w:tblPrEx>
        <w:trPr>
          <w:trHeight w:val="499" w:hRule="atLeast"/>
          <w:jc w:val="center"/>
        </w:trPr>
        <w:tc>
          <w:tcPr>
            <w:tcW w:w="4586" w:type="dxa"/>
            <w:noWrap w:val="0"/>
            <w:vAlign w:val="center"/>
          </w:tcPr>
          <w:p w14:paraId="3A4E35AF">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账号：15518501040000160</w:t>
            </w:r>
          </w:p>
        </w:tc>
        <w:tc>
          <w:tcPr>
            <w:tcW w:w="5036" w:type="dxa"/>
            <w:noWrap w:val="0"/>
            <w:vAlign w:val="center"/>
          </w:tcPr>
          <w:p w14:paraId="3807AD99">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 xml:space="preserve">账号： </w:t>
            </w:r>
            <w:r>
              <w:rPr>
                <w:rFonts w:ascii="宋体" w:hAnsi="宋体" w:cs="宋体"/>
                <w:sz w:val="24"/>
                <w:highlight w:val="none"/>
              </w:rPr>
              <w:t xml:space="preserve"> </w:t>
            </w:r>
            <w:r>
              <w:rPr>
                <w:rFonts w:hint="eastAsia" w:ascii="宋体" w:hAnsi="宋体" w:cs="宋体"/>
                <w:sz w:val="24"/>
                <w:highlight w:val="none"/>
              </w:rPr>
              <w:t xml:space="preserve"> </w:t>
            </w:r>
          </w:p>
        </w:tc>
      </w:tr>
      <w:tr w14:paraId="58EA878D">
        <w:tblPrEx>
          <w:tblCellMar>
            <w:top w:w="0" w:type="dxa"/>
            <w:left w:w="108" w:type="dxa"/>
            <w:bottom w:w="0" w:type="dxa"/>
            <w:right w:w="108" w:type="dxa"/>
          </w:tblCellMar>
        </w:tblPrEx>
        <w:trPr>
          <w:trHeight w:val="461" w:hRule="atLeast"/>
          <w:jc w:val="center"/>
        </w:trPr>
        <w:tc>
          <w:tcPr>
            <w:tcW w:w="4586" w:type="dxa"/>
            <w:noWrap w:val="0"/>
            <w:vAlign w:val="center"/>
          </w:tcPr>
          <w:p w14:paraId="0B90A90A">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邮政编码：</w:t>
            </w:r>
          </w:p>
        </w:tc>
        <w:tc>
          <w:tcPr>
            <w:tcW w:w="5036" w:type="dxa"/>
            <w:noWrap w:val="0"/>
            <w:vAlign w:val="center"/>
          </w:tcPr>
          <w:p w14:paraId="56149C26">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邮政编码：</w:t>
            </w:r>
          </w:p>
        </w:tc>
      </w:tr>
    </w:tbl>
    <w:p w14:paraId="1F7A1644">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90998">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7818E">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437818E">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E6B5D"/>
    <w:rsid w:val="00197C1D"/>
    <w:rsid w:val="0215224A"/>
    <w:rsid w:val="08040049"/>
    <w:rsid w:val="0A0013DF"/>
    <w:rsid w:val="0F2B2467"/>
    <w:rsid w:val="130E6B5D"/>
    <w:rsid w:val="13D91899"/>
    <w:rsid w:val="152652C9"/>
    <w:rsid w:val="158520E8"/>
    <w:rsid w:val="18443E6A"/>
    <w:rsid w:val="1B1F18BB"/>
    <w:rsid w:val="2766377C"/>
    <w:rsid w:val="28F904F4"/>
    <w:rsid w:val="29903CA9"/>
    <w:rsid w:val="2E00644A"/>
    <w:rsid w:val="33BE39C3"/>
    <w:rsid w:val="38395A7C"/>
    <w:rsid w:val="39C30294"/>
    <w:rsid w:val="41840764"/>
    <w:rsid w:val="46844C58"/>
    <w:rsid w:val="51050658"/>
    <w:rsid w:val="5A1749C1"/>
    <w:rsid w:val="5D1070D9"/>
    <w:rsid w:val="64A464F9"/>
    <w:rsid w:val="7A5322F4"/>
    <w:rsid w:val="7D35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rPr>
      <w:rFonts w:ascii="Times New Roman" w:hAnsi="Times New Roman" w:eastAsia="宋体" w:cs="Times New Roman"/>
    </w:rPr>
  </w:style>
  <w:style w:type="paragraph" w:styleId="3">
    <w:name w:val="Normal Indent"/>
    <w:basedOn w:val="1"/>
    <w:next w:val="1"/>
    <w:qFormat/>
    <w:uiPriority w:val="0"/>
    <w:pPr>
      <w:ind w:firstLine="420"/>
    </w:pPr>
    <w:rPr>
      <w:rFonts w:ascii="Times New Roman" w:hAnsi="Times New Roman" w:eastAsia="宋体" w:cs="Times New Roman"/>
    </w:rPr>
  </w:style>
  <w:style w:type="paragraph" w:styleId="4">
    <w:name w:val="Body Text"/>
    <w:basedOn w:val="1"/>
    <w:next w:val="5"/>
    <w:qFormat/>
    <w:uiPriority w:val="0"/>
    <w:pPr>
      <w:spacing w:after="120"/>
    </w:pPr>
    <w:rPr>
      <w:rFonts w:ascii="Times New Roman" w:hAnsi="Times New Roman" w:eastAsia="宋体" w:cs="Times New Roman"/>
    </w:rPr>
  </w:style>
  <w:style w:type="paragraph" w:customStyle="1" w:styleId="5">
    <w:name w:val="Default"/>
    <w:next w:val="6"/>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6">
    <w:name w:val="大标题"/>
    <w:basedOn w:val="1"/>
    <w:next w:val="7"/>
    <w:qFormat/>
    <w:uiPriority w:val="0"/>
    <w:pPr>
      <w:jc w:val="center"/>
    </w:pPr>
    <w:rPr>
      <w:rFonts w:ascii="Arial" w:hAnsi="Arial" w:eastAsia="宋体" w:cs="Times New Roman"/>
      <w:b/>
      <w:sz w:val="28"/>
      <w:szCs w:val="24"/>
    </w:rPr>
  </w:style>
  <w:style w:type="paragraph" w:styleId="7">
    <w:name w:val="Body Text First Indent 2"/>
    <w:basedOn w:val="8"/>
    <w:next w:val="1"/>
    <w:unhideWhenUsed/>
    <w:qFormat/>
    <w:uiPriority w:val="99"/>
    <w:pPr>
      <w:ind w:firstLine="420" w:firstLineChars="200"/>
    </w:pPr>
  </w:style>
  <w:style w:type="paragraph" w:styleId="8">
    <w:name w:val="Body Text Indent"/>
    <w:basedOn w:val="1"/>
    <w:next w:val="5"/>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Normal (Web)"/>
    <w:basedOn w:val="1"/>
    <w:qFormat/>
    <w:uiPriority w:val="0"/>
    <w:rPr>
      <w:rFonts w:ascii="Times New Roman" w:hAnsi="Times New Roman" w:eastAsia="宋体" w:cs="Times New Roman"/>
      <w:sz w:val="24"/>
    </w:rPr>
  </w:style>
  <w:style w:type="paragraph" w:customStyle="1" w:styleId="13">
    <w:name w:val="首行缩进"/>
    <w:basedOn w:val="1"/>
    <w:qFormat/>
    <w:uiPriority w:val="0"/>
    <w:pPr>
      <w:keepNext w:val="0"/>
      <w:keepLines w:val="0"/>
      <w:widowControl w:val="0"/>
      <w:suppressLineNumbers w:val="0"/>
      <w:spacing w:before="0" w:beforeAutospacing="0" w:after="0" w:afterAutospacing="0" w:line="360" w:lineRule="auto"/>
      <w:ind w:left="0" w:right="0" w:firstLine="480"/>
      <w:jc w:val="both"/>
    </w:pPr>
    <w:rPr>
      <w:rFonts w:hint="eastAsia" w:ascii="宋体" w:hAnsi="宋体" w:eastAsia="宋体" w:cs="宋体"/>
      <w:color w:val="000000"/>
      <w:kern w:val="0"/>
      <w:sz w:val="24"/>
      <w:szCs w:val="24"/>
      <w:lang w:val="en-US" w:eastAsia="zh-CN" w:bidi="ar"/>
    </w:rPr>
  </w:style>
  <w:style w:type="paragraph" w:customStyle="1" w:styleId="14">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2026-04-08T08:16:00Z</dcterms:created>
  <dc:creator>Serein</dc:creator>
  <cp:lastModifiedBy>A</cp:lastModifiedBy>
  <dcterms:modified xsi:type="dcterms:W3CDTF">2026-06-23T13:30:37Z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4591F215378242E89E5E68980CBBA05E_11</vt:lpwstr>
  </property>
  <property fmtid="{D5CDD505-2E9C-101B-9397-08002B2CF9AE}" pid="4" name="KSOTemplateDocerSaveRecord">
    <vt:lpwstr>eyJoZGlkIjoiNmZiZGZkODBkMmNjN2QwN2YyM2ZiYjZjYTI2ZTI2NTkiLCJ1c2VySWQiOiI2MjY5ODE2MzIifQ==</vt:lpwstr>
  </property>
</Properties>
</file>