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公开招标文件</w:t>
      </w:r>
    </w:p>
    <w:p>
      <w:pPr>
        <w:pStyle w:val="null5"/>
        <w:jc w:val="center"/>
        <w:outlineLvl w:val="0"/>
      </w:pPr>
      <w:r>
        <w:rPr>
          <w:rFonts w:ascii="仿宋_GB2312" w:hAnsi="仿宋_GB2312" w:cs="仿宋_GB2312" w:eastAsia="仿宋_GB2312"/>
          <w:sz w:val="48"/>
          <w:b/>
        </w:rPr>
        <w:t>（服务类）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山东第一医科大学泰安校区龙山厅、凤凰厅（含天烛厅）自主经营服务项目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SDGP370000000202602005195</w:t>
      </w:r>
    </w:p>
    <w:p>
      <w:pPr>
        <w:pStyle w:val="null5"/>
        <w:jc w:val="left"/>
        <w:outlineLvl w:val="2"/>
      </w:pPr>
      <w:r>
        <w:rPr>
          <w:rFonts w:ascii="仿宋_GB2312" w:hAnsi="仿宋_GB2312" w:cs="仿宋_GB2312" w:eastAsia="仿宋_GB2312"/>
          <w:sz w:val="28"/>
          <w:b/>
        </w:rPr>
        <w:t>山东第一医科大学</w:t>
      </w:r>
    </w:p>
    <w:p>
      <w:pPr>
        <w:pStyle w:val="null5"/>
        <w:jc w:val="center"/>
        <w:outlineLvl w:val="2"/>
      </w:pPr>
      <w:r>
        <w:rPr>
          <w:rFonts w:ascii="仿宋_GB2312" w:hAnsi="仿宋_GB2312" w:cs="仿宋_GB2312" w:eastAsia="仿宋_GB2312"/>
          <w:sz w:val="28"/>
          <w:b/>
        </w:rPr>
        <w:t>山东天惠兴招标咨询有限公司</w:t>
      </w:r>
      <w:r>
        <w:rPr>
          <w:rFonts w:ascii="仿宋_GB2312" w:hAnsi="仿宋_GB2312" w:cs="仿宋_GB2312" w:eastAsia="仿宋_GB2312"/>
          <w:sz w:val="28"/>
          <w:b/>
        </w:rPr>
        <w:t>共同编制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both"/>
      </w:pPr>
      <w:r>
        <w:rPr>
          <w:rFonts w:ascii="仿宋_GB2312" w:hAnsi="仿宋_GB2312" w:cs="仿宋_GB2312" w:eastAsia="仿宋_GB2312"/>
        </w:rPr>
        <w:t>山东天惠兴招标咨询有限公司</w:t>
      </w:r>
      <w:r>
        <w:rPr>
          <w:rFonts w:ascii="仿宋_GB2312" w:hAnsi="仿宋_GB2312" w:cs="仿宋_GB2312" w:eastAsia="仿宋_GB2312"/>
        </w:rPr>
        <w:t>（以下简称“代理机构”）受</w:t>
      </w:r>
      <w:r>
        <w:rPr>
          <w:rFonts w:ascii="仿宋_GB2312" w:hAnsi="仿宋_GB2312" w:cs="仿宋_GB2312" w:eastAsia="仿宋_GB2312"/>
        </w:rPr>
        <w:t>山东第一医科大学</w:t>
      </w:r>
      <w:r>
        <w:rPr>
          <w:rFonts w:ascii="仿宋_GB2312" w:hAnsi="仿宋_GB2312" w:cs="仿宋_GB2312" w:eastAsia="仿宋_GB2312"/>
        </w:rPr>
        <w:t>（以下简称“采购人”）委托，拟对</w:t>
      </w:r>
      <w:r>
        <w:rPr>
          <w:rFonts w:ascii="仿宋_GB2312" w:hAnsi="仿宋_GB2312" w:cs="仿宋_GB2312" w:eastAsia="仿宋_GB2312"/>
        </w:rPr>
        <w:t>山东第一医科大学泰安校区龙山厅、凤凰厅（含天烛厅）自主经营服务项目</w:t>
      </w:r>
      <w:r>
        <w:rPr>
          <w:rFonts w:ascii="仿宋_GB2312" w:hAnsi="仿宋_GB2312" w:cs="仿宋_GB2312" w:eastAsia="仿宋_GB2312"/>
        </w:rPr>
        <w:t>采用公开招标采购方式进行采购，兹邀请符合本次招标要求的供应商参加投标。本项目为山东省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SDGP370000000202602005195</w:t>
      </w:r>
    </w:p>
    <w:p>
      <w:pPr>
        <w:pStyle w:val="null5"/>
        <w:ind w:firstLine="480"/>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山东第一医科大学泰安校区龙山厅、凤凰厅（含天烛厅）自主经营服务项目</w:t>
      </w:r>
    </w:p>
    <w:p>
      <w:pPr>
        <w:pStyle w:val="null5"/>
        <w:ind w:firstLine="480"/>
        <w:jc w:val="left"/>
        <w:outlineLvl w:val="2"/>
      </w:pPr>
      <w:r>
        <w:rPr>
          <w:rFonts w:ascii="仿宋_GB2312" w:hAnsi="仿宋_GB2312" w:cs="仿宋_GB2312" w:eastAsia="仿宋_GB2312"/>
          <w:sz w:val="28"/>
          <w:b/>
        </w:rPr>
        <w:t>1.3.招标项目简介</w:t>
      </w:r>
    </w:p>
    <w:p>
      <w:pPr>
        <w:pStyle w:val="null5"/>
        <w:ind w:firstLine="480"/>
        <w:jc w:val="left"/>
      </w:pPr>
      <w:r>
        <w:rPr>
          <w:rFonts w:ascii="仿宋_GB2312" w:hAnsi="仿宋_GB2312" w:cs="仿宋_GB2312" w:eastAsia="仿宋_GB2312"/>
        </w:rPr>
        <w:t>项目综述：本项目旨在为山东第一医科大学泰安校区龙山厅、凤凰厅和天烛厅提供自主经营服务，通过引进优质餐饮企业，提供专业化、高质量的餐饮劳务服务，实现食堂的自主经营改革。项目共需引进两家餐饮劳务服务企业，分别负责采购包1龙山厅、采购包2凤凰厅（含天烛厅）的餐饮劳务服务。</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本项目以公告的方式邀请供应商参加投标，招标公告在“中国山东政府采购网”（www.ccgp-shandong.gov.cn）发布。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投标人是企业（包括合伙企业）的，应提供其在工商部门注册的有效“企业法人营业执照”或“营业执照”；投标人是事业单位的，应提供其有效的“事业单位法人证书”；投标人是非企业专业服务机构的，应提供其有效的执业许可证；投标人是个体工商户的，应提供其有效的“个体工商户营业执照”；投标人是自然人的，应提供其有效的自然人身份证明。</w:t>
      </w:r>
    </w:p>
    <w:p>
      <w:pPr>
        <w:pStyle w:val="null5"/>
        <w:jc w:val="left"/>
      </w:pPr>
      <w:r>
        <w:rPr>
          <w:rFonts w:ascii="仿宋_GB2312" w:hAnsi="仿宋_GB2312" w:cs="仿宋_GB2312" w:eastAsia="仿宋_GB2312"/>
        </w:rPr>
        <w:t>2、法定代表人资格证明书或法定代表人授权委托书：如法定代表人投标，需提供法定代表人资格证明书，授权代理人参加投标的，须提供法定代表人授权委托书及授权代理人在本单位缴纳社保证明（投标文件递交截止时间前近3个月的连续证明，加盖本单位公章，新成立企业提供成立以来的）</w:t>
      </w:r>
    </w:p>
    <w:p>
      <w:pPr>
        <w:pStyle w:val="null5"/>
        <w:jc w:val="left"/>
      </w:pPr>
      <w:r>
        <w:rPr>
          <w:rFonts w:ascii="仿宋_GB2312" w:hAnsi="仿宋_GB2312" w:cs="仿宋_GB2312" w:eastAsia="仿宋_GB2312"/>
        </w:rPr>
        <w:t>3、投标人须具有良好的商业信誉和健全的财务会计制度：投标人2024年度或2025年度财务报表（包括资产负债表、利润表，须体现投标人信息），或2024年度或2025年度经审计的审计报告，或其基本开户银行出具的开标前三个月内资信证明。（投标人为事业单位法人、小规模纳税人或新成立企业，据实提供即可）</w:t>
      </w:r>
    </w:p>
    <w:p>
      <w:pPr>
        <w:pStyle w:val="null5"/>
        <w:jc w:val="left"/>
      </w:pPr>
      <w:r>
        <w:rPr>
          <w:rFonts w:ascii="仿宋_GB2312" w:hAnsi="仿宋_GB2312" w:cs="仿宋_GB2312" w:eastAsia="仿宋_GB2312"/>
        </w:rPr>
        <w:t>4、投标人须具有依法缴纳税收和社会保障资金的良好记录：1.缴纳税收的证明材料是指投标人参加本次招标活动半年内任意一个月内缴纳税收的凭据。缴纳社会保障资金的证明材料是指参加本次招标活动半年内任意一个月内缴纳社会保险的凭据（专用收据或社会保险缴纳清单），其他组织和自然人也需要提供缴纳税收的凭据和缴纳社会保险的凭据；2.依法免税或不需要缴纳社会保障资金的投标人，应提供相关证明材料；3.适用于《依法缴纳税收和社会保障资金承诺函》情形的投标人应提前在“中国山东政府采购网”查询本单位缴纳税收和社会保障资金的情况，可提供《依法缴纳税收和社会保障资金承诺函》。具体要求详见《山东省财政厅关于推行政府采购供应商资格信用承诺制的通知》</w:t>
      </w:r>
    </w:p>
    <w:p>
      <w:pPr>
        <w:pStyle w:val="null5"/>
        <w:jc w:val="left"/>
      </w:pPr>
      <w:r>
        <w:rPr>
          <w:rFonts w:ascii="仿宋_GB2312" w:hAnsi="仿宋_GB2312" w:cs="仿宋_GB2312" w:eastAsia="仿宋_GB2312"/>
        </w:rPr>
        <w:t>5、投标人须具有履行合同所必需的设备和专业技术能力：附具备履行合同所必需设备和专业技术能力声明函。</w:t>
      </w:r>
    </w:p>
    <w:p>
      <w:pPr>
        <w:pStyle w:val="null5"/>
        <w:jc w:val="left"/>
      </w:pPr>
      <w:r>
        <w:rPr>
          <w:rFonts w:ascii="仿宋_GB2312" w:hAnsi="仿宋_GB2312" w:cs="仿宋_GB2312" w:eastAsia="仿宋_GB2312"/>
        </w:rPr>
        <w:t>6、近三年内（本项目投标文件递交截止日前）投标人在经营活动中没有重大违法记录：提供无重大违法记录声明函。</w:t>
      </w:r>
    </w:p>
    <w:p>
      <w:pPr>
        <w:pStyle w:val="null5"/>
        <w:jc w:val="left"/>
      </w:pPr>
      <w:r>
        <w:rPr>
          <w:rFonts w:ascii="仿宋_GB2312" w:hAnsi="仿宋_GB2312" w:cs="仿宋_GB2312" w:eastAsia="仿宋_GB2312"/>
        </w:rPr>
        <w:t>7、投标人无不良信用记录：在“信用中国”、“中国政府采购网”网站中未被列入“失信被执行人名单”、“重大税收违法失信主体”、“政府采购严重违法失信行为记录名单”</w:t>
      </w:r>
    </w:p>
    <w:p>
      <w:pPr>
        <w:pStyle w:val="null5"/>
        <w:jc w:val="left"/>
      </w:pPr>
      <w:r>
        <w:rPr>
          <w:rFonts w:ascii="仿宋_GB2312" w:hAnsi="仿宋_GB2312" w:cs="仿宋_GB2312" w:eastAsia="仿宋_GB2312"/>
        </w:rPr>
        <w:t>8、单位负责人为同一人或者存在直接控股、管理关系的不同供应商，不得参加同一合同项下（同一包号）的政府采购活动：投标人须提供书面声明</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具有独立承担民事责任的能力：投标人是企业（包括合伙企业）的，应提供其在工商部门注册的有效“企业法人营业执照”或“营业执照”；投标人是事业单位的，应提供其有效的“事业单位法人证书”；投标人是非企业专业服务机构的，应提供其有效的执业许可证；投标人是个体工商户的，应提供其有效的“个体工商户营业执照”；投标人是自然人的，应提供其有效的自然人身份证明。</w:t>
      </w:r>
    </w:p>
    <w:p>
      <w:pPr>
        <w:pStyle w:val="null5"/>
        <w:jc w:val="left"/>
      </w:pPr>
      <w:r>
        <w:rPr>
          <w:rFonts w:ascii="仿宋_GB2312" w:hAnsi="仿宋_GB2312" w:cs="仿宋_GB2312" w:eastAsia="仿宋_GB2312"/>
        </w:rPr>
        <w:t>2、法定代表人资格证明书或法定代表人授权委托书：如法定代表人投标，需提供法定代表人资格证明书，授权代理人参加投标的，须提供法定代表人授权委托书及授权代理人在本单位缴纳社保证明（投标文件递交截止时间前近3个月的连续证明，加盖本单位公章，新成立企业提供成立以来的）</w:t>
      </w:r>
    </w:p>
    <w:p>
      <w:pPr>
        <w:pStyle w:val="null5"/>
        <w:jc w:val="left"/>
      </w:pPr>
      <w:r>
        <w:rPr>
          <w:rFonts w:ascii="仿宋_GB2312" w:hAnsi="仿宋_GB2312" w:cs="仿宋_GB2312" w:eastAsia="仿宋_GB2312"/>
        </w:rPr>
        <w:t>3、投标人须具有良好的商业信誉和健全的财务会计制度：投标人2024年度或2025年度财务报表（包括资产负债表、利润表，须体现投标人信息），或2024年度或2025年度经审计的审计报告，或其基本开户银行出具的开标前三个月内资信证明。（投标人为事业单位法人、小规模纳税人或新成立企业，据实提供即可）</w:t>
      </w:r>
    </w:p>
    <w:p>
      <w:pPr>
        <w:pStyle w:val="null5"/>
        <w:jc w:val="left"/>
      </w:pPr>
      <w:r>
        <w:rPr>
          <w:rFonts w:ascii="仿宋_GB2312" w:hAnsi="仿宋_GB2312" w:cs="仿宋_GB2312" w:eastAsia="仿宋_GB2312"/>
        </w:rPr>
        <w:t>4、投标人须具有依法缴纳税收和社会保障资金的良好记录：1.缴纳税收的证明材料是指投标人参加本次招标活动半年内任意一个月内缴纳税收的凭据。缴纳社会保障资金的证明材料是指参加本次招标活动半年内任意一个月内缴纳社会保险的凭据（专用收据或社会保险缴纳清单），其他组织和自然人也需要提供缴纳税收的凭据和缴纳社会保险的凭据；2.依法免税或不需要缴纳社会保障资金的投标人，应提供相关证明材料；3.适用于《依法缴纳税收和社会保障资金承诺函》情形的投标人应提前在“中国山东政府采购网”查询本单位缴纳税收和社会保障资金的情况，可提供《依法缴纳税收和社会保障资金承诺函》。具体要求详见《山东省财政厅关于推行政府采购供应商资格信用承诺制的通知》</w:t>
      </w:r>
    </w:p>
    <w:p>
      <w:pPr>
        <w:pStyle w:val="null5"/>
        <w:jc w:val="left"/>
      </w:pPr>
      <w:r>
        <w:rPr>
          <w:rFonts w:ascii="仿宋_GB2312" w:hAnsi="仿宋_GB2312" w:cs="仿宋_GB2312" w:eastAsia="仿宋_GB2312"/>
        </w:rPr>
        <w:t>5、投标人须具有履行合同所必需的设备和专业技术能力：附具备履行合同所必需设备和专业技术能力声明函。</w:t>
      </w:r>
    </w:p>
    <w:p>
      <w:pPr>
        <w:pStyle w:val="null5"/>
        <w:jc w:val="left"/>
      </w:pPr>
      <w:r>
        <w:rPr>
          <w:rFonts w:ascii="仿宋_GB2312" w:hAnsi="仿宋_GB2312" w:cs="仿宋_GB2312" w:eastAsia="仿宋_GB2312"/>
        </w:rPr>
        <w:t>6、近三年内（本项目投标文件递交截止日前）投标人在经营活动中没有重大违法记录：提供无重大违法记录声明函。</w:t>
      </w:r>
    </w:p>
    <w:p>
      <w:pPr>
        <w:pStyle w:val="null5"/>
        <w:jc w:val="left"/>
      </w:pPr>
      <w:r>
        <w:rPr>
          <w:rFonts w:ascii="仿宋_GB2312" w:hAnsi="仿宋_GB2312" w:cs="仿宋_GB2312" w:eastAsia="仿宋_GB2312"/>
        </w:rPr>
        <w:t>7、投标人无不良信用记录：在“信用中国”、“中国政府采购网”网站中未被列入“失信被执行人名单”、“重大税收违法失信主体”、“政府采购严重违法失信行为记录名单”</w:t>
      </w:r>
    </w:p>
    <w:p>
      <w:pPr>
        <w:pStyle w:val="null5"/>
        <w:jc w:val="left"/>
      </w:pPr>
      <w:r>
        <w:rPr>
          <w:rFonts w:ascii="仿宋_GB2312" w:hAnsi="仿宋_GB2312" w:cs="仿宋_GB2312" w:eastAsia="仿宋_GB2312"/>
        </w:rPr>
        <w:t>8、单位负责人为同一人或者存在直接控股、管理关系的不同供应商，不得参加同一合同项下（同一包号）的政府采购活动：投标人须提供书面声明</w:t>
      </w:r>
    </w:p>
    <w:p>
      <w:pPr>
        <w:pStyle w:val="null5"/>
        <w:jc w:val="left"/>
      </w:pPr>
      <w:r>
        <w:rPr>
          <w:rFonts w:ascii="仿宋_GB2312" w:hAnsi="仿宋_GB2312" w:cs="仿宋_GB2312" w:eastAsia="仿宋_GB2312"/>
        </w:rPr>
        <w:t>9、符合法律、行政法规规定的其他条件：符合法律、行政法规规定的其他条件</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jc w:val="left"/>
      </w:pPr>
      <w:r>
        <w:rPr>
          <w:rFonts w:ascii="仿宋_GB2312" w:hAnsi="仿宋_GB2312" w:cs="仿宋_GB2312" w:eastAsia="仿宋_GB2312"/>
        </w:rPr>
        <w:t>采购包2：不属于专门面向中小企业采购。</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1、投标人须具备有效的《食品经营许可证》：投标人须提供有效的《食品经营许可证》扫描件</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1、投标人须具备有效的《食品经营许可证》：投标人须提供有效的《食品经营许可证》扫描件</w:t>
      </w:r>
    </w:p>
    <w:p>
      <w:pPr>
        <w:pStyle w:val="null5"/>
        <w:ind w:firstLine="480"/>
        <w:jc w:val="left"/>
        <w:outlineLvl w:val="2"/>
      </w:pPr>
      <w:r>
        <w:rPr>
          <w:rFonts w:ascii="仿宋_GB2312" w:hAnsi="仿宋_GB2312" w:cs="仿宋_GB2312" w:eastAsia="仿宋_GB2312"/>
          <w:sz w:val="28"/>
          <w:b/>
        </w:rPr>
        <w:t>1.6.电子化采购相关事项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一、供应商参与本项目电子化采购活动的范围主要包括：获取招标文件，编制、签章、加密并提交投标文件，参加开标、解密投标文 件和电子评标等。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 应商，按照采购平台操作规范进行身份信息绑定、权限设置和系统操作。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1.7.招标文件获取时间、方式及地址</w:t>
      </w:r>
    </w:p>
    <w:p>
      <w:pPr>
        <w:pStyle w:val="null5"/>
        <w:ind w:firstLine="480"/>
        <w:jc w:val="both"/>
      </w:pPr>
      <w:r>
        <w:rPr>
          <w:rFonts w:ascii="仿宋_GB2312" w:hAnsi="仿宋_GB2312" w:cs="仿宋_GB2312" w:eastAsia="仿宋_GB2312"/>
        </w:rPr>
        <w:t>一、招标文件获取时间：详见采购公告。</w:t>
      </w:r>
    </w:p>
    <w:p>
      <w:pPr>
        <w:pStyle w:val="null5"/>
        <w:ind w:firstLine="480"/>
        <w:jc w:val="both"/>
      </w:pPr>
      <w:r>
        <w:rPr>
          <w:rFonts w:ascii="仿宋_GB2312" w:hAnsi="仿宋_GB2312" w:cs="仿宋_GB2312" w:eastAsia="仿宋_GB2312"/>
        </w:rPr>
        <w:t>二、采购人或者代理机构应当在招标文件获取时间开始前，将本项目电子招标文件上传至交易系统，向投标人免费提供，投标人通过 交易系统获取招标文件。投标人成功获取招标文件后，将收到已获取招标文件的回执单。未按规定获取招标文件的投标人，不得参与本次采购活动，不得对招标文件提起质疑。</w:t>
      </w:r>
    </w:p>
    <w:p>
      <w:pPr>
        <w:pStyle w:val="null5"/>
        <w:ind w:firstLine="480"/>
        <w:jc w:val="both"/>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1.8.投标截止时间及开标时间、方式、地点</w:t>
      </w:r>
    </w:p>
    <w:p>
      <w:pPr>
        <w:pStyle w:val="null5"/>
        <w:ind w:firstLine="480"/>
        <w:jc w:val="both"/>
      </w:pPr>
      <w:r>
        <w:rPr>
          <w:rFonts w:ascii="仿宋_GB2312" w:hAnsi="仿宋_GB2312" w:cs="仿宋_GB2312" w:eastAsia="仿宋_GB2312"/>
        </w:rPr>
        <w:t>一、投标截止时间及开标时间：详见采购公告。</w:t>
      </w:r>
    </w:p>
    <w:p>
      <w:pPr>
        <w:pStyle w:val="null5"/>
        <w:ind w:firstLine="480"/>
        <w:jc w:val="both"/>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5"/>
        <w:ind w:firstLine="480"/>
        <w:jc w:val="both"/>
      </w:pPr>
      <w:r>
        <w:rPr>
          <w:rFonts w:ascii="仿宋_GB2312" w:hAnsi="仿宋_GB2312" w:cs="仿宋_GB2312" w:eastAsia="仿宋_GB2312"/>
        </w:rPr>
        <w:t>三、本项目采取网上开标，采购人或者代理机构通过交易系统“开标/开启大厅”组织在线开标。</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山东第一医科大学</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济南市槐荫区青岛路6699号（山东第一医科大学）</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山东第一医科大学</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0531-59556923</w:t>
      </w:r>
    </w:p>
    <w:p>
      <w:pPr>
        <w:pStyle w:val="null5"/>
        <w:ind w:firstLine="480"/>
        <w:jc w:val="left"/>
      </w:pPr>
      <w:r>
        <w:rPr>
          <w:rFonts w:ascii="仿宋_GB2312" w:hAnsi="仿宋_GB2312" w:cs="仿宋_GB2312" w:eastAsia="仿宋_GB2312"/>
        </w:rPr>
        <w:t>代理机构：</w:t>
      </w:r>
      <w:r>
        <w:rPr>
          <w:rFonts w:ascii="仿宋_GB2312" w:hAnsi="仿宋_GB2312" w:cs="仿宋_GB2312" w:eastAsia="仿宋_GB2312"/>
        </w:rPr>
        <w:t>山东天惠兴招标咨询有限公司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济南市高新区舜海路219号华创观礼中心A座302室</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250000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崔老师</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0531-88953181</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ind w:firstLine="480"/>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采购包1：6,500,000.00元</w:t>
            </w:r>
          </w:p>
          <w:p>
            <w:pPr>
              <w:pStyle w:val="null5"/>
              <w:jc w:val="left"/>
            </w:pPr>
            <w:r>
              <w:rPr>
                <w:rFonts w:ascii="仿宋_GB2312" w:hAnsi="仿宋_GB2312" w:cs="仿宋_GB2312" w:eastAsia="仿宋_GB2312"/>
              </w:rPr>
              <w:t>采购包2：5,500,000.00元</w:t>
            </w:r>
          </w:p>
          <w:p>
            <w:pPr>
              <w:pStyle w:val="null5"/>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评标方法</w:t>
            </w:r>
          </w:p>
        </w:tc>
        <w:tc>
          <w:tcPr>
            <w:tcW w:type="dxa" w:w="5814"/>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p>
            <w:pPr>
              <w:pStyle w:val="null5"/>
              <w:jc w:val="left"/>
            </w:pPr>
            <w:r>
              <w:rPr>
                <w:rFonts w:ascii="仿宋_GB2312" w:hAnsi="仿宋_GB2312" w:cs="仿宋_GB2312" w:eastAsia="仿宋_GB2312"/>
              </w:rPr>
              <w:t xml:space="preserve">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是否为签订不超过三年履行期限政府采购合同的项目</w:t>
            </w:r>
          </w:p>
        </w:tc>
        <w:tc>
          <w:tcPr>
            <w:tcW w:type="dxa" w:w="5814"/>
          </w:tcPr>
          <w:p>
            <w:pPr>
              <w:pStyle w:val="null5"/>
              <w:jc w:val="left"/>
            </w:pPr>
            <w:r>
              <w:rPr>
                <w:rFonts w:ascii="仿宋_GB2312" w:hAnsi="仿宋_GB2312" w:cs="仿宋_GB2312" w:eastAsia="仿宋_GB2312"/>
              </w:rPr>
              <w:t>是否属于签订不超过 3 年履行期限政府采购合同的项目:</w:t>
            </w:r>
          </w:p>
          <w:p>
            <w:pPr>
              <w:pStyle w:val="null5"/>
              <w:jc w:val="left"/>
            </w:pPr>
            <w:r>
              <w:rPr>
                <w:rFonts w:ascii="仿宋_GB2312" w:hAnsi="仿宋_GB2312" w:cs="仿宋_GB2312" w:eastAsia="仿宋_GB2312"/>
              </w:rPr>
              <w:t xml:space="preserve"> 本项目政府采购合同履行期限以实际签订期限为准，按照履约年度签订，即在年度履约期满后，继续签订下一履约年度的政府采购合同。因中标人后续履约质量无法保障或者采购人采购需求发生变化，可以依法终止合同。</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1.自中标（成交）公告发布之日起5日内，采购包1中标人向采购人一次性交付合同金额的5%（如中标人是中小企业收取比例为2%）的履约保证金；逾期未交至采购人指定账户的，视为自动放弃中标资格，并承担因此对采购人造成的损失。2.若中标人在合同期内无违约违规行为，期满后履约保证金全额无息返还。若中标人在合同期内因未履行本合同约定的各种事项被采购人扣减履约保证金,中标人应在采购人扣减履约保证金的1个月之内补齐差额，否则，采购人有权解除合同，中标人承担相应违约责任。3.履约保证金形式：电汇形式、银行汇票（投标人应在投标文件中明确具体递交形式）4.履约保证金缴纳信息：开户单位：山东第一医科大学；开户银行：中国农业银行股份有限公司济南槐荫支行；账号：15126101040096666。</w:t>
            </w:r>
          </w:p>
          <w:p>
            <w:pPr>
              <w:pStyle w:val="null5"/>
              <w:jc w:val="left"/>
            </w:pPr>
            <w:r>
              <w:rPr>
                <w:rFonts w:ascii="仿宋_GB2312" w:hAnsi="仿宋_GB2312" w:cs="仿宋_GB2312" w:eastAsia="仿宋_GB2312"/>
              </w:rPr>
              <w:t>采购包2：缴纳</w:t>
            </w:r>
          </w:p>
          <w:p>
            <w:pPr>
              <w:pStyle w:val="null5"/>
              <w:jc w:val="left"/>
            </w:pPr>
            <w:r>
              <w:rPr>
                <w:rFonts w:ascii="仿宋_GB2312" w:hAnsi="仿宋_GB2312" w:cs="仿宋_GB2312" w:eastAsia="仿宋_GB2312"/>
              </w:rPr>
              <w:t>本采购包履约保证金为合同金额的5%</w:t>
            </w:r>
          </w:p>
          <w:p>
            <w:pPr>
              <w:pStyle w:val="null5"/>
              <w:jc w:val="left"/>
            </w:pPr>
            <w:r>
              <w:rPr>
                <w:rFonts w:ascii="仿宋_GB2312" w:hAnsi="仿宋_GB2312" w:cs="仿宋_GB2312" w:eastAsia="仿宋_GB2312"/>
              </w:rPr>
              <w:t>说明：1.自中标（成交）公告发布之日起5日内，采购包2中标人向采购人一次性交付合同金额的5%（如中标人是中小企业收取比例为2%）的履约保证金；逾期未交至采购人指定账户的，视为自动放弃中标资格，并承担因此对采购人造成的损失。2.若中标人在合同期内无违约违规行为，期满后履约保证金全额无息返还。若中标人在合同期内因未履行本合同约定的各种事项被采购人扣减履约保证金,中标人应在采购人扣减履约保证金的1个月之内补齐差额，否则，采购人有权解除合同，中标人承担相应违约责任。3.履约保证金形式：电汇形式、银行汇票（投标人应在投标文件中明确具体递交形式）4.履约保证金缴纳信息：开户单位：山东第一医科大学；开户银行：中国农业银行股份有限公司济南槐荫支行；账号：15126101040096666。</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投标有效期</w:t>
            </w:r>
          </w:p>
        </w:tc>
        <w:tc>
          <w:tcPr>
            <w:tcW w:type="dxa" w:w="5814"/>
          </w:tcPr>
          <w:p>
            <w:pPr>
              <w:pStyle w:val="null5"/>
              <w:jc w:val="left"/>
            </w:pPr>
            <w:r>
              <w:rPr>
                <w:rFonts w:ascii="仿宋_GB2312" w:hAnsi="仿宋_GB2312" w:cs="仿宋_GB2312" w:eastAsia="仿宋_GB2312"/>
              </w:rPr>
              <w:t>自投标截止之日起90个日历日</w:t>
            </w:r>
            <w:r>
              <w:rPr>
                <w:rFonts w:ascii="仿宋_GB2312" w:hAnsi="仿宋_GB2312" w:cs="仿宋_GB2312" w:eastAsia="仿宋_GB2312"/>
              </w:rPr>
              <w:t>。投标文件未明确投标有效期或者少于前述规定天数的，其投标文件按无效处理。</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代理服务费收费标准：定额收取，各包中标人在领取中标通知书和签订合同前，向采购代理机构一次性交纳中标服务费25000元。</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中标结果公告</w:t>
            </w:r>
          </w:p>
        </w:tc>
        <w:tc>
          <w:tcPr>
            <w:tcW w:type="dxa" w:w="5814"/>
          </w:tcPr>
          <w:p>
            <w:pPr>
              <w:pStyle w:val="null5"/>
              <w:jc w:val="left"/>
            </w:pPr>
            <w:r>
              <w:rPr>
                <w:rFonts w:ascii="仿宋_GB2312" w:hAnsi="仿宋_GB2312" w:cs="仿宋_GB2312" w:eastAsia="仿宋_GB2312"/>
              </w:rPr>
              <w:t>中标结果将在“中国山东政府采购网”予以公告。</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是否组织潜在投标人现场考察</w:t>
            </w:r>
          </w:p>
        </w:tc>
        <w:tc>
          <w:tcPr>
            <w:tcW w:type="dxa" w:w="5814"/>
          </w:tcPr>
          <w:p>
            <w:pPr>
              <w:pStyle w:val="null5"/>
              <w:jc w:val="left"/>
            </w:pPr>
            <w:r>
              <w:rPr>
                <w:rFonts w:ascii="仿宋_GB2312" w:hAnsi="仿宋_GB2312" w:cs="仿宋_GB2312" w:eastAsia="仿宋_GB2312"/>
              </w:rPr>
              <w:t>采购包1：不组织</w:t>
            </w:r>
          </w:p>
          <w:p>
            <w:pPr>
              <w:pStyle w:val="null5"/>
              <w:jc w:val="left"/>
            </w:pPr>
            <w:r>
              <w:rPr>
                <w:rFonts w:ascii="仿宋_GB2312" w:hAnsi="仿宋_GB2312" w:cs="仿宋_GB2312" w:eastAsia="仿宋_GB2312"/>
              </w:rPr>
              <w:t>采购包2：不组织</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是否召开开标前答疑会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一、交易系统发生故障（包括感染病毒、应用或数据库出错）而无法正常使用的；</w:t>
            </w:r>
          </w:p>
          <w:p>
            <w:pPr>
              <w:pStyle w:val="null5"/>
              <w:jc w:val="left"/>
            </w:pPr>
            <w:r>
              <w:rPr>
                <w:rFonts w:ascii="仿宋_GB2312" w:hAnsi="仿宋_GB2312" w:cs="仿宋_GB2312" w:eastAsia="仿宋_GB2312"/>
              </w:rPr>
              <w:t>二、因组织场所停电、断网等原因，导致采购活动无法继续通过交易系统实施的；</w:t>
            </w:r>
          </w:p>
          <w:p>
            <w:pPr>
              <w:pStyle w:val="null5"/>
              <w:jc w:val="left"/>
            </w:pPr>
            <w:r>
              <w:rPr>
                <w:rFonts w:ascii="仿宋_GB2312" w:hAnsi="仿宋_GB2312" w:cs="仿宋_GB2312" w:eastAsia="仿宋_GB2312"/>
              </w:rPr>
              <w:t>三、其他无法保证电子化交易的公平、公正和安全的情况。</w:t>
            </w:r>
          </w:p>
          <w:p>
            <w:pPr>
              <w:pStyle w:val="null5"/>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注：</w:t>
            </w:r>
          </w:p>
          <w:p>
            <w:pPr>
              <w:pStyle w:val="null5"/>
              <w:jc w:val="left"/>
            </w:pPr>
            <w:r>
              <w:rPr>
                <w:rFonts w:ascii="仿宋_GB2312" w:hAnsi="仿宋_GB2312" w:cs="仿宋_GB2312" w:eastAsia="仿宋_GB2312"/>
              </w:rPr>
              <w:t>1.平台系统故障认定以“中国山东政府采购网”发布的系统运维通知内容为准；</w:t>
            </w:r>
          </w:p>
          <w:p>
            <w:pPr>
              <w:pStyle w:val="null5"/>
              <w:jc w:val="left"/>
            </w:pPr>
            <w:r>
              <w:rPr>
                <w:rFonts w:ascii="仿宋_GB2312" w:hAnsi="仿宋_GB2312" w:cs="仿宋_GB2312" w:eastAsia="仿宋_GB2312"/>
              </w:rPr>
              <w:t>2.故障处理详见第二章规定。</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本招标文件所称的“以上”、“以下”、“内”、“以内”、“不少于”包括本数；所称的“不足”、“低于”、“超过”不包括本数。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一、本招标文件仅适用于本次公开招标采购项目。</w:t>
      </w:r>
    </w:p>
    <w:p>
      <w:pPr>
        <w:pStyle w:val="null5"/>
        <w:ind w:firstLine="480"/>
        <w:jc w:val="both"/>
      </w:pPr>
      <w:r>
        <w:rPr>
          <w:rFonts w:ascii="仿宋_GB2312" w:hAnsi="仿宋_GB2312" w:cs="仿宋_GB2312" w:eastAsia="仿宋_GB2312"/>
        </w:rPr>
        <w:t>二、本招标文件由</w:t>
      </w:r>
      <w:r>
        <w:rPr>
          <w:rFonts w:ascii="仿宋_GB2312" w:hAnsi="仿宋_GB2312" w:cs="仿宋_GB2312" w:eastAsia="仿宋_GB2312"/>
        </w:rPr>
        <w:t>山东第一医科大学</w:t>
      </w:r>
      <w:r>
        <w:rPr>
          <w:rFonts w:ascii="仿宋_GB2312" w:hAnsi="仿宋_GB2312" w:cs="仿宋_GB2312" w:eastAsia="仿宋_GB2312"/>
        </w:rPr>
        <w:t>和</w:t>
      </w:r>
      <w:r>
        <w:rPr>
          <w:rFonts w:ascii="仿宋_GB2312" w:hAnsi="仿宋_GB2312" w:cs="仿宋_GB2312" w:eastAsia="仿宋_GB2312"/>
        </w:rPr>
        <w:t>山东天惠兴招标咨询有限公司</w:t>
      </w:r>
      <w:r>
        <w:rPr>
          <w:rFonts w:ascii="仿宋_GB2312" w:hAnsi="仿宋_GB2312" w:cs="仿宋_GB2312" w:eastAsia="仿宋_GB2312"/>
        </w:rPr>
        <w:t>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一、“采购人”是指依法进行政府采购的国家机关、事业单位、团体组织。本次招标的采购人是</w:t>
      </w:r>
      <w:r>
        <w:rPr>
          <w:rFonts w:ascii="仿宋_GB2312" w:hAnsi="仿宋_GB2312" w:cs="仿宋_GB2312" w:eastAsia="仿宋_GB2312"/>
        </w:rPr>
        <w:t>山东第一医科大学</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二、“投标人”是指按照采购公告规定获取招标文件，参加投标竞争的法人、其他组织或者自然人。</w:t>
      </w:r>
    </w:p>
    <w:p>
      <w:pPr>
        <w:pStyle w:val="null5"/>
        <w:ind w:firstLine="480"/>
        <w:jc w:val="both"/>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山东天惠兴招标咨询有限公司</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5"/>
        <w:ind w:firstLine="480"/>
        <w:jc w:val="both"/>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5"/>
        <w:ind w:firstLine="480"/>
        <w:jc w:val="left"/>
        <w:outlineLvl w:val="2"/>
      </w:pPr>
      <w:r>
        <w:rPr>
          <w:rFonts w:ascii="仿宋_GB2312" w:hAnsi="仿宋_GB2312" w:cs="仿宋_GB2312" w:eastAsia="仿宋_GB2312"/>
          <w:sz w:val="28"/>
          <w:b/>
        </w:rPr>
        <w:t>2.3.招标文件</w:t>
      </w:r>
    </w:p>
    <w:p>
      <w:pPr>
        <w:pStyle w:val="null5"/>
        <w:ind w:firstLine="480"/>
        <w:jc w:val="both"/>
      </w:pPr>
      <w:r>
        <w:rPr>
          <w:rFonts w:ascii="仿宋_GB2312" w:hAnsi="仿宋_GB2312" w:cs="仿宋_GB2312" w:eastAsia="仿宋_GB2312"/>
        </w:rPr>
        <w:t>2.3.1.招标文件的构成</w:t>
      </w:r>
    </w:p>
    <w:p>
      <w:pPr>
        <w:pStyle w:val="null5"/>
        <w:ind w:firstLine="480"/>
        <w:jc w:val="both"/>
      </w:pPr>
      <w:r>
        <w:rPr>
          <w:rFonts w:ascii="仿宋_GB2312" w:hAnsi="仿宋_GB2312" w:cs="仿宋_GB2312" w:eastAsia="仿宋_GB2312"/>
        </w:rPr>
        <w:t>招标文件由采购人、代理机构编制，是项目采购活动开展的基本依据，主要包括以下内容：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一、投标邀请；</w:t>
      </w:r>
    </w:p>
    <w:p>
      <w:pPr>
        <w:pStyle w:val="null5"/>
        <w:ind w:firstLine="480"/>
        <w:jc w:val="both"/>
      </w:pPr>
      <w:r>
        <w:rPr>
          <w:rFonts w:ascii="仿宋_GB2312" w:hAnsi="仿宋_GB2312" w:cs="仿宋_GB2312" w:eastAsia="仿宋_GB2312"/>
        </w:rPr>
        <w:t>二、投标人须知；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四、资格审查；</w:t>
      </w:r>
    </w:p>
    <w:p>
      <w:pPr>
        <w:pStyle w:val="null5"/>
        <w:ind w:firstLine="480"/>
        <w:jc w:val="both"/>
      </w:pPr>
      <w:r>
        <w:rPr>
          <w:rFonts w:ascii="仿宋_GB2312" w:hAnsi="仿宋_GB2312" w:cs="仿宋_GB2312" w:eastAsia="仿宋_GB2312"/>
        </w:rPr>
        <w:t>五、评标办法；</w:t>
      </w:r>
    </w:p>
    <w:p>
      <w:pPr>
        <w:pStyle w:val="null5"/>
        <w:ind w:firstLine="480"/>
        <w:jc w:val="both"/>
      </w:pPr>
      <w:r>
        <w:rPr>
          <w:rFonts w:ascii="仿宋_GB2312" w:hAnsi="仿宋_GB2312" w:cs="仿宋_GB2312" w:eastAsia="仿宋_GB2312"/>
        </w:rPr>
        <w:t>六、投标文件格式；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2.3.2.招标文件的澄清或者修改</w:t>
      </w:r>
    </w:p>
    <w:p>
      <w:pPr>
        <w:pStyle w:val="null5"/>
        <w:ind w:firstLine="480"/>
        <w:jc w:val="both"/>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5"/>
        <w:ind w:firstLine="480"/>
        <w:jc w:val="both"/>
      </w:pPr>
      <w:r>
        <w:rPr>
          <w:rFonts w:ascii="仿宋_GB2312" w:hAnsi="仿宋_GB2312" w:cs="仿宋_GB2312" w:eastAsia="仿宋_GB2312"/>
        </w:rPr>
        <w:t>二、澄清或者修改的内容为招标文件的组成部分，采购人或者代理机构将在“中国山东政府采购网”发布更正公告，并将更正后的招标文件上传至交易系统。更正内容可能影响投标文件编制的，采购人或者代理机构应当在投标截止时间至少 15 日前，通过交易系统向已获取招标文件的投标人发送更正信息；不足 15 日的，采购人或者代理机构应当顺延提交投标文件的截止时间。</w:t>
      </w:r>
    </w:p>
    <w:p>
      <w:pPr>
        <w:pStyle w:val="null5"/>
        <w:ind w:firstLine="480"/>
        <w:jc w:val="both"/>
      </w:pPr>
      <w:r>
        <w:rPr>
          <w:rFonts w:ascii="仿宋_GB2312" w:hAnsi="仿宋_GB2312" w:cs="仿宋_GB2312" w:eastAsia="仿宋_GB2312"/>
        </w:rPr>
        <w:t>三、投标人根据更正公告、更正信息要求，下载更正后的招标文件，进行投标文件编制。</w:t>
      </w:r>
    </w:p>
    <w:p>
      <w:pPr>
        <w:pStyle w:val="null5"/>
        <w:ind w:firstLine="480"/>
        <w:jc w:val="left"/>
        <w:outlineLvl w:val="2"/>
      </w:pPr>
      <w:r>
        <w:rPr>
          <w:rFonts w:ascii="仿宋_GB2312" w:hAnsi="仿宋_GB2312" w:cs="仿宋_GB2312" w:eastAsia="仿宋_GB2312"/>
          <w:sz w:val="28"/>
          <w:b/>
        </w:rPr>
        <w:t>2.4.投标文件</w:t>
      </w:r>
    </w:p>
    <w:p>
      <w:pPr>
        <w:pStyle w:val="null5"/>
        <w:ind w:firstLine="480"/>
        <w:jc w:val="both"/>
      </w:pPr>
      <w:r>
        <w:rPr>
          <w:rFonts w:ascii="仿宋_GB2312" w:hAnsi="仿宋_GB2312" w:cs="仿宋_GB2312" w:eastAsia="仿宋_GB2312"/>
        </w:rPr>
        <w:t>2.4.1.投标文件的语言</w:t>
      </w:r>
    </w:p>
    <w:p>
      <w:pPr>
        <w:pStyle w:val="null5"/>
        <w:ind w:firstLine="480"/>
        <w:jc w:val="both"/>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5"/>
        <w:ind w:firstLine="480"/>
        <w:jc w:val="both"/>
      </w:pPr>
      <w:r>
        <w:rPr>
          <w:rFonts w:ascii="仿宋_GB2312" w:hAnsi="仿宋_GB2312" w:cs="仿宋_GB2312" w:eastAsia="仿宋_GB2312"/>
        </w:rPr>
        <w:t>（一）投标人的法定代表人为外籍人士的，法定代表人的签字和护照。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三、如因未翻译而造成对投标人的不利后果，由投标人承担。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除招标文件中另有规定外，本项目均采用国家法定的计量单位。</w:t>
      </w:r>
    </w:p>
    <w:p>
      <w:pPr>
        <w:pStyle w:val="null5"/>
        <w:ind w:firstLine="480"/>
        <w:jc w:val="both"/>
      </w:pPr>
      <w:r>
        <w:rPr>
          <w:rFonts w:ascii="仿宋_GB2312" w:hAnsi="仿宋_GB2312" w:cs="仿宋_GB2312" w:eastAsia="仿宋_GB2312"/>
        </w:rPr>
        <w:t>2.4.3.投标货币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三、如使用投标人所不拥有的知识产权，则在投标报价中必须包括合法使用该知识产权的相关费用。</w:t>
      </w:r>
    </w:p>
    <w:p>
      <w:pPr>
        <w:pStyle w:val="null5"/>
        <w:ind w:firstLine="480"/>
        <w:jc w:val="both"/>
      </w:pPr>
      <w:r>
        <w:rPr>
          <w:rFonts w:ascii="仿宋_GB2312" w:hAnsi="仿宋_GB2312" w:cs="仿宋_GB2312" w:eastAsia="仿宋_GB2312"/>
        </w:rPr>
        <w:t>2.4.5.投标报价</w:t>
      </w:r>
    </w:p>
    <w:p>
      <w:pPr>
        <w:pStyle w:val="null5"/>
        <w:ind w:firstLine="480"/>
        <w:jc w:val="both"/>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5"/>
        <w:ind w:firstLine="480"/>
        <w:jc w:val="both"/>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5"/>
        <w:ind w:firstLine="480"/>
        <w:jc w:val="both"/>
      </w:pPr>
      <w:r>
        <w:rPr>
          <w:rFonts w:ascii="仿宋_GB2312" w:hAnsi="仿宋_GB2312" w:cs="仿宋_GB2312" w:eastAsia="仿宋_GB2312"/>
        </w:rPr>
        <w:t>2.4.6.投标文件的编制、签章和加密</w:t>
      </w:r>
    </w:p>
    <w:p>
      <w:pPr>
        <w:pStyle w:val="null5"/>
        <w:ind w:firstLine="480"/>
        <w:jc w:val="both"/>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w:t>
      </w:r>
    </w:p>
    <w:p>
      <w:pPr>
        <w:pStyle w:val="null5"/>
        <w:ind w:firstLine="480"/>
        <w:jc w:val="both"/>
      </w:pPr>
      <w:r>
        <w:rPr>
          <w:rFonts w:ascii="仿宋_GB2312" w:hAnsi="仿宋_GB2312" w:cs="仿宋_GB2312" w:eastAsia="仿宋_GB2312"/>
        </w:rPr>
        <w:t>二、投标人使用投标（响应）客户端编制投标文件，完成投标文件编制、加盖电子印章和加密。</w:t>
      </w:r>
    </w:p>
    <w:p>
      <w:pPr>
        <w:pStyle w:val="null5"/>
        <w:ind w:firstLine="480"/>
        <w:jc w:val="both"/>
      </w:pPr>
      <w:r>
        <w:rPr>
          <w:rFonts w:ascii="仿宋_GB2312" w:hAnsi="仿宋_GB2312" w:cs="仿宋_GB2312" w:eastAsia="仿宋_GB2312"/>
        </w:rPr>
        <w:t>2.4.7.投标文件的提交</w:t>
      </w:r>
    </w:p>
    <w:p>
      <w:pPr>
        <w:pStyle w:val="null5"/>
        <w:ind w:firstLine="480"/>
        <w:jc w:val="both"/>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5"/>
        <w:ind w:firstLine="480"/>
        <w:jc w:val="both"/>
      </w:pPr>
      <w:r>
        <w:rPr>
          <w:rFonts w:ascii="仿宋_GB2312" w:hAnsi="仿宋_GB2312" w:cs="仿宋_GB2312" w:eastAsia="仿宋_GB2312"/>
        </w:rPr>
        <w:t>未按招标文件和采购平台操作规范编制、确认、加密、盖章和提交的投标文件，将被拒绝接收。</w:t>
      </w:r>
    </w:p>
    <w:p>
      <w:pPr>
        <w:pStyle w:val="null5"/>
        <w:ind w:firstLine="480"/>
        <w:jc w:val="both"/>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5"/>
        <w:ind w:firstLine="480"/>
        <w:jc w:val="both"/>
      </w:pPr>
      <w:r>
        <w:rPr>
          <w:rFonts w:ascii="仿宋_GB2312" w:hAnsi="仿宋_GB2312" w:cs="仿宋_GB2312" w:eastAsia="仿宋_GB2312"/>
        </w:rPr>
        <w:t>三、除投标人外，其他任何单位和个人不得解密投标文件或者调整修改已提交投标文件的内容及提交状态。</w:t>
      </w:r>
    </w:p>
    <w:p>
      <w:pPr>
        <w:pStyle w:val="null5"/>
        <w:ind w:firstLine="480"/>
        <w:jc w:val="both"/>
      </w:pPr>
      <w:r>
        <w:rPr>
          <w:rFonts w:ascii="仿宋_GB2312" w:hAnsi="仿宋_GB2312" w:cs="仿宋_GB2312" w:eastAsia="仿宋_GB2312"/>
        </w:rPr>
        <w:t>2.4.8.投标文件的补充、修改、撤回</w:t>
      </w:r>
    </w:p>
    <w:p>
      <w:pPr>
        <w:pStyle w:val="null5"/>
        <w:ind w:firstLine="480"/>
        <w:jc w:val="both"/>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5"/>
        <w:ind w:firstLine="480"/>
        <w:jc w:val="both"/>
      </w:pPr>
      <w:r>
        <w:rPr>
          <w:rFonts w:ascii="仿宋_GB2312" w:hAnsi="仿宋_GB2312" w:cs="仿宋_GB2312" w:eastAsia="仿宋_GB2312"/>
        </w:rPr>
        <w:t>投标人投标文件撤回后，视为未提交过投标文件。</w:t>
      </w:r>
    </w:p>
    <w:p>
      <w:pPr>
        <w:pStyle w:val="null5"/>
        <w:ind w:firstLine="480"/>
        <w:jc w:val="left"/>
        <w:outlineLvl w:val="2"/>
      </w:pPr>
      <w:r>
        <w:rPr>
          <w:rFonts w:ascii="仿宋_GB2312" w:hAnsi="仿宋_GB2312" w:cs="仿宋_GB2312" w:eastAsia="仿宋_GB2312"/>
          <w:sz w:val="28"/>
          <w:b/>
        </w:rPr>
        <w:t>2.5.开标、资格审查、评标和中标</w:t>
      </w:r>
    </w:p>
    <w:p>
      <w:pPr>
        <w:pStyle w:val="null5"/>
        <w:ind w:firstLine="480"/>
        <w:jc w:val="both"/>
      </w:pPr>
      <w:r>
        <w:rPr>
          <w:rFonts w:ascii="仿宋_GB2312" w:hAnsi="仿宋_GB2312" w:cs="仿宋_GB2312" w:eastAsia="仿宋_GB2312"/>
        </w:rPr>
        <w:t>2.5.1.开标</w:t>
      </w:r>
    </w:p>
    <w:p>
      <w:pPr>
        <w:pStyle w:val="null5"/>
        <w:ind w:firstLine="480"/>
        <w:jc w:val="both"/>
      </w:pPr>
      <w:r>
        <w:rPr>
          <w:rFonts w:ascii="仿宋_GB2312" w:hAnsi="仿宋_GB2312" w:cs="仿宋_GB2312" w:eastAsia="仿宋_GB2312"/>
        </w:rPr>
        <w:t>2.5.1.1.开标程序</w:t>
      </w:r>
    </w:p>
    <w:p>
      <w:pPr>
        <w:pStyle w:val="null5"/>
        <w:ind w:firstLine="480"/>
        <w:jc w:val="both"/>
      </w:pPr>
      <w:r>
        <w:rPr>
          <w:rFonts w:ascii="仿宋_GB2312" w:hAnsi="仿宋_GB2312" w:cs="仿宋_GB2312" w:eastAsia="仿宋_GB2312"/>
        </w:rPr>
        <w:t>投标截止时间后，通过交易系统“开标/开启大厅”网上开标，在线解密投标文件。</w:t>
      </w:r>
    </w:p>
    <w:p>
      <w:pPr>
        <w:pStyle w:val="null5"/>
        <w:ind w:firstLine="480"/>
        <w:jc w:val="both"/>
      </w:pPr>
      <w:r>
        <w:rPr>
          <w:rFonts w:ascii="仿宋_GB2312" w:hAnsi="仿宋_GB2312" w:cs="仿宋_GB2312" w:eastAsia="仿宋_GB2312"/>
        </w:rPr>
        <w:t>2.5.1.2.解密投标文件</w:t>
      </w:r>
    </w:p>
    <w:p>
      <w:pPr>
        <w:pStyle w:val="null5"/>
        <w:ind w:firstLine="480"/>
        <w:jc w:val="left"/>
      </w:pPr>
      <w:r>
        <w:rPr>
          <w:rFonts w:ascii="仿宋_GB2312" w:hAnsi="仿宋_GB2312" w:cs="仿宋_GB2312" w:eastAsia="仿宋_GB2312"/>
        </w:rPr>
        <w:t>投标截止时间后，成功提交投标文件的投标人符合招标文件规定数量的，代理机构将启动投标文件解密程序，解密时间为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分钟；投标人应在规定的解密时间内，使用加密投标文件的数字证书进行投标文件解密。除因平台系统故障导致投标人未按时完成解密外，投标人未在规定的解密时间内完成解密的，按无效投标处理。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5"/>
        <w:ind w:firstLine="480"/>
        <w:jc w:val="both"/>
      </w:pPr>
      <w:r>
        <w:rPr>
          <w:rFonts w:ascii="仿宋_GB2312" w:hAnsi="仿宋_GB2312" w:cs="仿宋_GB2312" w:eastAsia="仿宋_GB2312"/>
        </w:rPr>
        <w:t>开标过程中，投标人对开标过程有疑义，可向代理机构提出询问，代理机构应当及时予以答复。</w:t>
      </w:r>
    </w:p>
    <w:p>
      <w:pPr>
        <w:pStyle w:val="null5"/>
        <w:ind w:firstLine="480"/>
        <w:jc w:val="both"/>
      </w:pPr>
      <w:r>
        <w:rPr>
          <w:rFonts w:ascii="仿宋_GB2312" w:hAnsi="仿宋_GB2312" w:cs="仿宋_GB2312" w:eastAsia="仿宋_GB2312"/>
        </w:rPr>
        <w:t>投标人完成投标文件解密后，自主决定是否参加在线开标，未参加的，视同认可开标结果。</w:t>
      </w:r>
    </w:p>
    <w:p>
      <w:pPr>
        <w:pStyle w:val="null5"/>
        <w:ind w:firstLine="480"/>
        <w:jc w:val="both"/>
      </w:pPr>
      <w:r>
        <w:rPr>
          <w:rFonts w:ascii="仿宋_GB2312" w:hAnsi="仿宋_GB2312" w:cs="仿宋_GB2312" w:eastAsia="仿宋_GB2312"/>
        </w:rPr>
        <w:t>成功提交或者成功解密电子投标文件的投标人不足 3 家的，采购人或者代理机构将作废标处理。</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2.5.3.资格审查</w:t>
      </w:r>
    </w:p>
    <w:p>
      <w:pPr>
        <w:pStyle w:val="null5"/>
        <w:ind w:firstLine="480"/>
        <w:jc w:val="both"/>
      </w:pPr>
      <w:r>
        <w:rPr>
          <w:rFonts w:ascii="仿宋_GB2312" w:hAnsi="仿宋_GB2312" w:cs="仿宋_GB2312" w:eastAsia="仿宋_GB2312"/>
        </w:rPr>
        <w:t>详见招标文件第四章。</w:t>
      </w:r>
    </w:p>
    <w:p>
      <w:pPr>
        <w:pStyle w:val="null5"/>
        <w:ind w:firstLine="480"/>
        <w:jc w:val="both"/>
      </w:pPr>
      <w:r>
        <w:rPr>
          <w:rFonts w:ascii="仿宋_GB2312" w:hAnsi="仿宋_GB2312" w:cs="仿宋_GB2312" w:eastAsia="仿宋_GB2312"/>
        </w:rPr>
        <w:t>2.5.4.评标</w:t>
      </w:r>
    </w:p>
    <w:p>
      <w:pPr>
        <w:pStyle w:val="null5"/>
        <w:ind w:firstLine="480"/>
        <w:jc w:val="both"/>
      </w:pPr>
      <w:r>
        <w:rPr>
          <w:rFonts w:ascii="仿宋_GB2312" w:hAnsi="仿宋_GB2312" w:cs="仿宋_GB2312" w:eastAsia="仿宋_GB2312"/>
        </w:rPr>
        <w:t>详见招标文件第五章。</w:t>
      </w:r>
    </w:p>
    <w:p>
      <w:pPr>
        <w:pStyle w:val="null5"/>
        <w:ind w:firstLine="480"/>
        <w:jc w:val="both"/>
      </w:pPr>
      <w:r>
        <w:rPr>
          <w:rFonts w:ascii="仿宋_GB2312" w:hAnsi="仿宋_GB2312" w:cs="仿宋_GB2312" w:eastAsia="仿宋_GB2312"/>
        </w:rPr>
        <w:t>2.5.5.中标通知书</w:t>
      </w:r>
    </w:p>
    <w:p>
      <w:pPr>
        <w:pStyle w:val="null5"/>
        <w:ind w:firstLine="480"/>
        <w:jc w:val="both"/>
      </w:pPr>
      <w:r>
        <w:rPr>
          <w:rFonts w:ascii="仿宋_GB2312" w:hAnsi="仿宋_GB2312" w:cs="仿宋_GB2312" w:eastAsia="仿宋_GB2312"/>
        </w:rPr>
        <w:t>一、采购人或者评标委员会确认中标人后，代理机构在“中国山东政府采购网”发布中标结果公告、通过交易系统发出中标通知书，中标人通过交易系统获取中标通知书。</w:t>
      </w:r>
    </w:p>
    <w:p>
      <w:pPr>
        <w:pStyle w:val="null5"/>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5"/>
        <w:ind w:firstLine="480"/>
        <w:jc w:val="left"/>
      </w:pPr>
      <w:r>
        <w:rPr>
          <w:rFonts w:ascii="仿宋_GB2312" w:hAnsi="仿宋_GB2312" w:cs="仿宋_GB2312" w:eastAsia="仿宋_GB2312"/>
        </w:rPr>
        <w:t>三、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5"/>
        <w:ind w:firstLine="480"/>
        <w:jc w:val="both"/>
      </w:pPr>
      <w:r>
        <w:rPr>
          <w:rFonts w:ascii="仿宋_GB2312" w:hAnsi="仿宋_GB2312" w:cs="仿宋_GB2312" w:eastAsia="仿宋_GB2312"/>
        </w:rPr>
        <w:t>三、政府采购合同自采购人和中标人在书面合同上签章之日起生效。</w:t>
      </w:r>
    </w:p>
    <w:p>
      <w:pPr>
        <w:pStyle w:val="null5"/>
        <w:ind w:firstLine="480"/>
        <w:jc w:val="both"/>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ind w:firstLine="480"/>
        <w:jc w:val="left"/>
      </w:pPr>
      <w:r>
        <w:rPr>
          <w:rFonts w:ascii="仿宋_GB2312" w:hAnsi="仿宋_GB2312" w:cs="仿宋_GB2312" w:eastAsia="仿宋_GB2312"/>
        </w:rPr>
        <w:t>采购包1：不允许分包；</w:t>
      </w:r>
    </w:p>
    <w:p>
      <w:pPr>
        <w:pStyle w:val="null5"/>
        <w:jc w:val="left"/>
      </w:pPr>
      <w:r>
        <w:rPr>
          <w:rFonts w:ascii="仿宋_GB2312" w:hAnsi="仿宋_GB2312" w:cs="仿宋_GB2312" w:eastAsia="仿宋_GB2312"/>
        </w:rPr>
        <w:t>采购包2：不允许分包；</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1.投标人根据招标文件的规定和采购项目的实际情况，拟在中标后将中标项目的非主体、非关键性工作分包的，应当在投标文件中载 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2.采购合同实行分包履行的，中标人就采购项目和分包项目向采购人负责，分包供应商就分包项目承担责任。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3.中小企业依据《政府采购促进中小企业发展管理办法》（财库〔2020〕46号）规定的政策获取政府采购合同后，小型、微型企业</w:t>
      </w:r>
    </w:p>
    <w:p>
      <w:pPr>
        <w:pStyle w:val="null5"/>
        <w:ind w:firstLine="480"/>
        <w:jc w:val="both"/>
      </w:pPr>
      <w:r>
        <w:rPr>
          <w:rFonts w:ascii="仿宋_GB2312" w:hAnsi="仿宋_GB2312" w:cs="仿宋_GB2312" w:eastAsia="仿宋_GB2312"/>
        </w:rPr>
        <w:t>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一、严禁中标人将本项目合同转包。</w:t>
      </w:r>
    </w:p>
    <w:p>
      <w:pPr>
        <w:pStyle w:val="null5"/>
        <w:ind w:firstLine="480"/>
        <w:jc w:val="both"/>
      </w:pPr>
      <w:r>
        <w:rPr>
          <w:rFonts w:ascii="仿宋_GB2312" w:hAnsi="仿宋_GB2312" w:cs="仿宋_GB2312" w:eastAsia="仿宋_GB2312"/>
        </w:rPr>
        <w:t>二、中标人将合同转包的，将依法追究法律责任。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一、采购人与中标人应当根据合同的约定依法履行合同义务。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jc w:val="left"/>
      </w:pPr>
      <w:r>
        <w:rPr>
          <w:rFonts w:ascii="仿宋_GB2312" w:hAnsi="仿宋_GB2312" w:cs="仿宋_GB2312" w:eastAsia="仿宋_GB2312"/>
        </w:rPr>
        <w:t>采购包2：自行验收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jc w:val="left"/>
      </w:pPr>
      <w:r>
        <w:rPr>
          <w:rFonts w:ascii="仿宋_GB2312" w:hAnsi="仿宋_GB2312" w:cs="仿宋_GB2312" w:eastAsia="仿宋_GB2312"/>
        </w:rPr>
        <w:t>采购包2：一次性验收</w:t>
      </w:r>
    </w:p>
    <w:p>
      <w:pPr>
        <w:pStyle w:val="null5"/>
        <w:ind w:firstLine="480"/>
        <w:jc w:val="both"/>
      </w:pPr>
      <w:r>
        <w:rPr>
          <w:rFonts w:ascii="仿宋_GB2312" w:hAnsi="仿宋_GB2312" w:cs="仿宋_GB2312" w:eastAsia="仿宋_GB2312"/>
        </w:rPr>
        <w:t>三、履约验收时间：</w:t>
      </w:r>
    </w:p>
    <w:p>
      <w:pPr>
        <w:pStyle w:val="null5"/>
        <w:ind w:firstLine="480"/>
        <w:jc w:val="both"/>
      </w:pPr>
      <w:r>
        <w:rPr>
          <w:rFonts w:ascii="仿宋_GB2312" w:hAnsi="仿宋_GB2312" w:cs="仿宋_GB2312" w:eastAsia="仿宋_GB2312"/>
        </w:rPr>
        <w:t>采购包1：</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本项目实行按月结算，由乙方向采购人发出项目验收建议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pPr>
      <w:r>
        <w:rPr>
          <w:rFonts w:ascii="仿宋_GB2312" w:hAnsi="仿宋_GB2312" w:cs="仿宋_GB2312" w:eastAsia="仿宋_GB2312"/>
        </w:rPr>
        <w:t>采购包2：</w:t>
      </w:r>
    </w:p>
    <w:p>
      <w:pPr>
        <w:pStyle w:val="null5"/>
        <w:ind w:firstLine="1200"/>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本项目实行按月结算，由乙方向采购人发出项目验收建议</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5"/>
        <w:ind w:firstLine="480"/>
        <w:jc w:val="both"/>
      </w:pPr>
      <w:r>
        <w:rPr>
          <w:rFonts w:ascii="仿宋_GB2312" w:hAnsi="仿宋_GB2312" w:cs="仿宋_GB2312" w:eastAsia="仿宋_GB2312"/>
        </w:rPr>
        <w:t>四、验收组织的其他事项：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详见本项目采购合同具体要求。</w:t>
      </w:r>
    </w:p>
    <w:p>
      <w:pPr>
        <w:pStyle w:val="null5"/>
      </w:pPr>
      <w:r>
        <w:rPr>
          <w:rFonts w:ascii="仿宋_GB2312" w:hAnsi="仿宋_GB2312" w:cs="仿宋_GB2312" w:eastAsia="仿宋_GB2312"/>
        </w:rPr>
        <w:t>采购包2：</w:t>
      </w:r>
      <w:r>
        <w:rPr>
          <w:rFonts w:ascii="仿宋_GB2312" w:hAnsi="仿宋_GB2312" w:cs="仿宋_GB2312" w:eastAsia="仿宋_GB2312"/>
        </w:rPr>
        <w:t>详见本项目采购合同具体要求。</w:t>
      </w:r>
    </w:p>
    <w:p>
      <w:pPr>
        <w:pStyle w:val="null5"/>
        <w:ind w:firstLine="480"/>
        <w:jc w:val="both"/>
      </w:pPr>
      <w:r>
        <w:rPr>
          <w:rFonts w:ascii="仿宋_GB2312" w:hAnsi="仿宋_GB2312" w:cs="仿宋_GB2312" w:eastAsia="仿宋_GB2312"/>
        </w:rPr>
        <w:t>五、技术履约验收内容：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招标文件技术要求、投标文件响应及承诺内容等。</w:t>
      </w:r>
    </w:p>
    <w:p>
      <w:pPr>
        <w:pStyle w:val="null5"/>
      </w:pPr>
      <w:r>
        <w:rPr>
          <w:rFonts w:ascii="仿宋_GB2312" w:hAnsi="仿宋_GB2312" w:cs="仿宋_GB2312" w:eastAsia="仿宋_GB2312"/>
        </w:rPr>
        <w:t>采购包2：</w:t>
      </w:r>
      <w:r>
        <w:rPr>
          <w:rFonts w:ascii="仿宋_GB2312" w:hAnsi="仿宋_GB2312" w:cs="仿宋_GB2312" w:eastAsia="仿宋_GB2312"/>
        </w:rPr>
        <w:t>招标文件技术要求、投标文件响应及承诺内容等。</w:t>
      </w:r>
    </w:p>
    <w:p>
      <w:pPr>
        <w:pStyle w:val="null5"/>
        <w:ind w:firstLine="480"/>
        <w:jc w:val="both"/>
      </w:pPr>
      <w:r>
        <w:rPr>
          <w:rFonts w:ascii="仿宋_GB2312" w:hAnsi="仿宋_GB2312" w:cs="仿宋_GB2312" w:eastAsia="仿宋_GB2312"/>
        </w:rPr>
        <w:t>六、商务履约验收内容：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招标文件商务要求、投标文件响应及承诺内容等。</w:t>
      </w:r>
    </w:p>
    <w:p>
      <w:pPr>
        <w:pStyle w:val="null5"/>
      </w:pPr>
      <w:r>
        <w:rPr>
          <w:rFonts w:ascii="仿宋_GB2312" w:hAnsi="仿宋_GB2312" w:cs="仿宋_GB2312" w:eastAsia="仿宋_GB2312"/>
        </w:rPr>
        <w:t>采购包2：</w:t>
      </w:r>
      <w:r>
        <w:rPr>
          <w:rFonts w:ascii="仿宋_GB2312" w:hAnsi="仿宋_GB2312" w:cs="仿宋_GB2312" w:eastAsia="仿宋_GB2312"/>
        </w:rPr>
        <w:t>招标文件商务要求、投标文件响应及承诺内容等。</w:t>
      </w:r>
    </w:p>
    <w:p>
      <w:pPr>
        <w:pStyle w:val="null5"/>
        <w:ind w:firstLine="480"/>
        <w:jc w:val="both"/>
      </w:pPr>
      <w:r>
        <w:rPr>
          <w:rFonts w:ascii="仿宋_GB2312" w:hAnsi="仿宋_GB2312" w:cs="仿宋_GB2312" w:eastAsia="仿宋_GB2312"/>
        </w:rPr>
        <w:t>七、履约验收标准：</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验收应依据采购人考核标准及合同约定进行，确保中标人的服务质量和菜品质量符合采购人的要求。</w:t>
      </w:r>
    </w:p>
    <w:p>
      <w:pPr>
        <w:pStyle w:val="null5"/>
      </w:pPr>
      <w:r>
        <w:rPr>
          <w:rFonts w:ascii="仿宋_GB2312" w:hAnsi="仿宋_GB2312" w:cs="仿宋_GB2312" w:eastAsia="仿宋_GB2312"/>
        </w:rPr>
        <w:t>采购包2：</w:t>
      </w:r>
      <w:r>
        <w:rPr>
          <w:rFonts w:ascii="仿宋_GB2312" w:hAnsi="仿宋_GB2312" w:cs="仿宋_GB2312" w:eastAsia="仿宋_GB2312"/>
        </w:rPr>
        <w:t>验收应依据采购人考核标准及合同约定进行，确保中标人的服务质量和菜品质量符合采购人的要求。</w:t>
      </w:r>
    </w:p>
    <w:p>
      <w:pPr>
        <w:pStyle w:val="null5"/>
        <w:ind w:firstLine="480"/>
        <w:jc w:val="both"/>
      </w:pPr>
      <w:r>
        <w:rPr>
          <w:rFonts w:ascii="仿宋_GB2312" w:hAnsi="仿宋_GB2312" w:cs="仿宋_GB2312" w:eastAsia="仿宋_GB2312"/>
        </w:rPr>
        <w:t>八、履约验收其他事项：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详见本项目采购合同具体要求。</w:t>
      </w:r>
    </w:p>
    <w:p>
      <w:pPr>
        <w:pStyle w:val="null5"/>
      </w:pPr>
      <w:r>
        <w:rPr>
          <w:rFonts w:ascii="仿宋_GB2312" w:hAnsi="仿宋_GB2312" w:cs="仿宋_GB2312" w:eastAsia="仿宋_GB2312"/>
        </w:rPr>
        <w:t>采购包2：</w:t>
      </w:r>
      <w:r>
        <w:rPr>
          <w:rFonts w:ascii="仿宋_GB2312" w:hAnsi="仿宋_GB2312" w:cs="仿宋_GB2312" w:eastAsia="仿宋_GB2312"/>
        </w:rPr>
        <w:t>详见本项目采购合同具体要求。</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采购人将按照政府采购合同规定，及时向中标人支付采购资金。具体支付约定详见第三章。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5"/>
        <w:ind w:firstLine="480"/>
        <w:jc w:val="both"/>
      </w:pPr>
      <w:r>
        <w:rPr>
          <w:rFonts w:ascii="仿宋_GB2312" w:hAnsi="仿宋_GB2312" w:cs="仿宋_GB2312" w:eastAsia="仿宋_GB2312"/>
        </w:rPr>
        <w:t>有关人员对评标情况以及在评标过程中获悉的国家秘密、商业秘密负有保密责任。</w:t>
      </w:r>
    </w:p>
    <w:p>
      <w:pPr>
        <w:pStyle w:val="null5"/>
        <w:ind w:firstLine="480"/>
        <w:jc w:val="both"/>
      </w:pPr>
      <w:r>
        <w:rPr>
          <w:rFonts w:ascii="仿宋_GB2312" w:hAnsi="仿宋_GB2312" w:cs="仿宋_GB2312" w:eastAsia="仿宋_GB2312"/>
        </w:rPr>
        <w:t>2.7.2.投标人不得具有的情形</w:t>
      </w:r>
    </w:p>
    <w:p>
      <w:pPr>
        <w:pStyle w:val="null5"/>
        <w:ind w:firstLine="480"/>
        <w:jc w:val="both"/>
      </w:pPr>
      <w:r>
        <w:rPr>
          <w:rFonts w:ascii="仿宋_GB2312" w:hAnsi="仿宋_GB2312" w:cs="仿宋_GB2312" w:eastAsia="仿宋_GB2312"/>
        </w:rPr>
        <w:t>投标人参加投标不得有下列情形：</w:t>
      </w:r>
    </w:p>
    <w:p>
      <w:pPr>
        <w:pStyle w:val="null5"/>
        <w:ind w:firstLine="480"/>
        <w:jc w:val="both"/>
      </w:pPr>
      <w:r>
        <w:rPr>
          <w:rFonts w:ascii="仿宋_GB2312" w:hAnsi="仿宋_GB2312" w:cs="仿宋_GB2312" w:eastAsia="仿宋_GB2312"/>
        </w:rPr>
        <w:t>一、有下列情形之一的，视为投标人串通投标：</w:t>
      </w:r>
    </w:p>
    <w:p>
      <w:pPr>
        <w:pStyle w:val="null5"/>
        <w:ind w:firstLine="480"/>
        <w:jc w:val="both"/>
      </w:pPr>
      <w:r>
        <w:rPr>
          <w:rFonts w:ascii="仿宋_GB2312" w:hAnsi="仿宋_GB2312" w:cs="仿宋_GB2312" w:eastAsia="仿宋_GB2312"/>
        </w:rPr>
        <w:t>（一）不同投标人的投标文件由同一单位或者个人编制；</w:t>
      </w:r>
    </w:p>
    <w:p>
      <w:pPr>
        <w:pStyle w:val="null5"/>
        <w:ind w:firstLine="480"/>
        <w:jc w:val="both"/>
      </w:pPr>
      <w:r>
        <w:rPr>
          <w:rFonts w:ascii="仿宋_GB2312" w:hAnsi="仿宋_GB2312" w:cs="仿宋_GB2312" w:eastAsia="仿宋_GB2312"/>
        </w:rPr>
        <w:t>（二）不同投标人委托同一单位或者个人办理投标事宜；</w:t>
      </w:r>
    </w:p>
    <w:p>
      <w:pPr>
        <w:pStyle w:val="null5"/>
        <w:ind w:firstLine="480"/>
        <w:jc w:val="both"/>
      </w:pPr>
      <w:r>
        <w:rPr>
          <w:rFonts w:ascii="仿宋_GB2312" w:hAnsi="仿宋_GB2312" w:cs="仿宋_GB2312" w:eastAsia="仿宋_GB2312"/>
        </w:rPr>
        <w:t>（三）不同投标人的投标文件载明的项目管理成员或者联系人员为同一人；</w:t>
      </w:r>
    </w:p>
    <w:p>
      <w:pPr>
        <w:pStyle w:val="null5"/>
        <w:ind w:firstLine="480"/>
        <w:jc w:val="both"/>
      </w:pPr>
      <w:r>
        <w:rPr>
          <w:rFonts w:ascii="仿宋_GB2312" w:hAnsi="仿宋_GB2312" w:cs="仿宋_GB2312" w:eastAsia="仿宋_GB2312"/>
        </w:rPr>
        <w:t>（四）不同投标人的投标文件异常一致或者投标报价呈规律性差异；</w:t>
      </w:r>
    </w:p>
    <w:p>
      <w:pPr>
        <w:pStyle w:val="null5"/>
        <w:ind w:firstLine="480"/>
        <w:jc w:val="both"/>
      </w:pPr>
      <w:r>
        <w:rPr>
          <w:rFonts w:ascii="仿宋_GB2312" w:hAnsi="仿宋_GB2312" w:cs="仿宋_GB2312" w:eastAsia="仿宋_GB2312"/>
        </w:rPr>
        <w:t>（五）不同投标人的投标文件相互混装；</w:t>
      </w:r>
    </w:p>
    <w:p>
      <w:pPr>
        <w:pStyle w:val="null5"/>
        <w:ind w:firstLine="480"/>
        <w:jc w:val="both"/>
      </w:pPr>
      <w:r>
        <w:rPr>
          <w:rFonts w:ascii="仿宋_GB2312" w:hAnsi="仿宋_GB2312" w:cs="仿宋_GB2312" w:eastAsia="仿宋_GB2312"/>
        </w:rPr>
        <w:t>（六）不同投标人的投标保证金从同一单位或者个人的账户转出。</w:t>
      </w:r>
    </w:p>
    <w:p>
      <w:pPr>
        <w:pStyle w:val="null5"/>
        <w:ind w:firstLine="480"/>
        <w:jc w:val="both"/>
      </w:pPr>
      <w:r>
        <w:rPr>
          <w:rFonts w:ascii="仿宋_GB2312" w:hAnsi="仿宋_GB2312" w:cs="仿宋_GB2312" w:eastAsia="仿宋_GB2312"/>
        </w:rPr>
        <w:t>二、有下列情形之一的，属于恶意串通，对投标人依照《中华人民共和国政府采购法》第七十七条第一款的规定追究法律责任，对采 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（一）投标人直接或者间接从采购人或者代理机构处获得其他投标人的相关情况并修改其投标文件；</w:t>
      </w:r>
    </w:p>
    <w:p>
      <w:pPr>
        <w:pStyle w:val="null5"/>
        <w:ind w:firstLine="480"/>
        <w:jc w:val="both"/>
      </w:pPr>
      <w:r>
        <w:rPr>
          <w:rFonts w:ascii="仿宋_GB2312" w:hAnsi="仿宋_GB2312" w:cs="仿宋_GB2312" w:eastAsia="仿宋_GB2312"/>
        </w:rPr>
        <w:t>（二）投标人按照采购人或者代理机构的授意撤换、修改投标文件；</w:t>
      </w:r>
    </w:p>
    <w:p>
      <w:pPr>
        <w:pStyle w:val="null5"/>
        <w:ind w:firstLine="480"/>
        <w:jc w:val="left"/>
      </w:pPr>
      <w:r>
        <w:rPr>
          <w:rFonts w:ascii="仿宋_GB2312" w:hAnsi="仿宋_GB2312" w:cs="仿宋_GB2312" w:eastAsia="仿宋_GB2312"/>
        </w:rPr>
        <w:t>（三）投标人之间协商报价、技术方案等投标文件的实质性内容；</w:t>
      </w:r>
    </w:p>
    <w:p>
      <w:pPr>
        <w:pStyle w:val="null5"/>
        <w:ind w:firstLine="480"/>
        <w:jc w:val="both"/>
      </w:pPr>
      <w:r>
        <w:rPr>
          <w:rFonts w:ascii="仿宋_GB2312" w:hAnsi="仿宋_GB2312" w:cs="仿宋_GB2312" w:eastAsia="仿宋_GB2312"/>
        </w:rPr>
        <w:t>（四）属于同一集团、协会、商会等组织成员的投标人按照该组织要求协同参加政府采购活动；</w:t>
      </w:r>
    </w:p>
    <w:p>
      <w:pPr>
        <w:pStyle w:val="null5"/>
        <w:ind w:firstLine="480"/>
        <w:jc w:val="both"/>
      </w:pPr>
      <w:r>
        <w:rPr>
          <w:rFonts w:ascii="仿宋_GB2312" w:hAnsi="仿宋_GB2312" w:cs="仿宋_GB2312" w:eastAsia="仿宋_GB2312"/>
        </w:rPr>
        <w:t>（五）投标人之间事先约定由某一特定投标人中标；</w:t>
      </w:r>
    </w:p>
    <w:p>
      <w:pPr>
        <w:pStyle w:val="null5"/>
        <w:ind w:firstLine="480"/>
        <w:jc w:val="both"/>
      </w:pPr>
      <w:r>
        <w:rPr>
          <w:rFonts w:ascii="仿宋_GB2312" w:hAnsi="仿宋_GB2312" w:cs="仿宋_GB2312" w:eastAsia="仿宋_GB2312"/>
        </w:rPr>
        <w:t>（六）投标人之间商定部分投标人放弃参加政府采购活动或者放弃中标；</w:t>
      </w:r>
    </w:p>
    <w:p>
      <w:pPr>
        <w:pStyle w:val="null5"/>
        <w:ind w:firstLine="480"/>
        <w:jc w:val="both"/>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5"/>
        <w:ind w:firstLine="480"/>
        <w:jc w:val="both"/>
      </w:pPr>
      <w:r>
        <w:rPr>
          <w:rFonts w:ascii="仿宋_GB2312" w:hAnsi="仿宋_GB2312" w:cs="仿宋_GB2312" w:eastAsia="仿宋_GB2312"/>
        </w:rPr>
        <w:t>三、提供虚假材料谋取中标；</w:t>
      </w:r>
    </w:p>
    <w:p>
      <w:pPr>
        <w:pStyle w:val="null5"/>
        <w:ind w:firstLine="480"/>
        <w:jc w:val="both"/>
      </w:pPr>
      <w:r>
        <w:rPr>
          <w:rFonts w:ascii="仿宋_GB2312" w:hAnsi="仿宋_GB2312" w:cs="仿宋_GB2312" w:eastAsia="仿宋_GB2312"/>
        </w:rPr>
        <w:t>四、采取不正当手段诋毁、排挤其他投标人；</w:t>
      </w:r>
    </w:p>
    <w:p>
      <w:pPr>
        <w:pStyle w:val="null5"/>
        <w:ind w:firstLine="480"/>
        <w:jc w:val="both"/>
      </w:pPr>
      <w:r>
        <w:rPr>
          <w:rFonts w:ascii="仿宋_GB2312" w:hAnsi="仿宋_GB2312" w:cs="仿宋_GB2312" w:eastAsia="仿宋_GB2312"/>
        </w:rPr>
        <w:t>五、与采购人或者代理机构、其他投标人恶意串通；</w:t>
      </w:r>
    </w:p>
    <w:p>
      <w:pPr>
        <w:pStyle w:val="null5"/>
        <w:ind w:firstLine="480"/>
        <w:jc w:val="both"/>
      </w:pPr>
      <w:r>
        <w:rPr>
          <w:rFonts w:ascii="仿宋_GB2312" w:hAnsi="仿宋_GB2312" w:cs="仿宋_GB2312" w:eastAsia="仿宋_GB2312"/>
        </w:rPr>
        <w:t>六、向采购人或者代理机构、评标委员会成员行贿或者提供其他不正当利益；</w:t>
      </w:r>
    </w:p>
    <w:p>
      <w:pPr>
        <w:pStyle w:val="null5"/>
        <w:ind w:firstLine="480"/>
        <w:jc w:val="both"/>
      </w:pPr>
      <w:r>
        <w:rPr>
          <w:rFonts w:ascii="仿宋_GB2312" w:hAnsi="仿宋_GB2312" w:cs="仿宋_GB2312" w:eastAsia="仿宋_GB2312"/>
        </w:rPr>
        <w:t>七、在招标过程中与采购人或者代理机构进行协商谈判；</w:t>
      </w:r>
    </w:p>
    <w:p>
      <w:pPr>
        <w:pStyle w:val="null5"/>
        <w:ind w:firstLine="480"/>
        <w:jc w:val="both"/>
      </w:pPr>
      <w:r>
        <w:rPr>
          <w:rFonts w:ascii="仿宋_GB2312" w:hAnsi="仿宋_GB2312" w:cs="仿宋_GB2312" w:eastAsia="仿宋_GB2312"/>
        </w:rPr>
        <w:t>八、中标后无正当理由拒不与采购人签订政府采购合同；</w:t>
      </w:r>
    </w:p>
    <w:p>
      <w:pPr>
        <w:pStyle w:val="null5"/>
        <w:ind w:firstLine="480"/>
        <w:jc w:val="both"/>
      </w:pPr>
      <w:r>
        <w:rPr>
          <w:rFonts w:ascii="仿宋_GB2312" w:hAnsi="仿宋_GB2312" w:cs="仿宋_GB2312" w:eastAsia="仿宋_GB2312"/>
        </w:rPr>
        <w:t>九、未按照招标文件确定的事项签订政府采购合同；</w:t>
      </w:r>
    </w:p>
    <w:p>
      <w:pPr>
        <w:pStyle w:val="null5"/>
        <w:ind w:firstLine="480"/>
        <w:jc w:val="both"/>
      </w:pPr>
      <w:r>
        <w:rPr>
          <w:rFonts w:ascii="仿宋_GB2312" w:hAnsi="仿宋_GB2312" w:cs="仿宋_GB2312" w:eastAsia="仿宋_GB2312"/>
        </w:rPr>
        <w:t>十、将政府采购合同转包或者违规分包；</w:t>
      </w:r>
    </w:p>
    <w:p>
      <w:pPr>
        <w:pStyle w:val="null5"/>
        <w:ind w:firstLine="480"/>
        <w:jc w:val="both"/>
      </w:pPr>
      <w:r>
        <w:rPr>
          <w:rFonts w:ascii="仿宋_GB2312" w:hAnsi="仿宋_GB2312" w:cs="仿宋_GB2312" w:eastAsia="仿宋_GB2312"/>
        </w:rPr>
        <w:t>十一、提供假冒伪劣产品；</w:t>
      </w:r>
    </w:p>
    <w:p>
      <w:pPr>
        <w:pStyle w:val="null5"/>
        <w:ind w:firstLine="480"/>
        <w:jc w:val="both"/>
      </w:pPr>
      <w:r>
        <w:rPr>
          <w:rFonts w:ascii="仿宋_GB2312" w:hAnsi="仿宋_GB2312" w:cs="仿宋_GB2312" w:eastAsia="仿宋_GB2312"/>
        </w:rPr>
        <w:t>十二、擅自变更、中止或者终止政府采购合同；</w:t>
      </w:r>
    </w:p>
    <w:p>
      <w:pPr>
        <w:pStyle w:val="null5"/>
        <w:ind w:firstLine="480"/>
        <w:jc w:val="both"/>
      </w:pPr>
      <w:r>
        <w:rPr>
          <w:rFonts w:ascii="仿宋_GB2312" w:hAnsi="仿宋_GB2312" w:cs="仿宋_GB2312" w:eastAsia="仿宋_GB2312"/>
        </w:rPr>
        <w:t>十三、拒绝有关部门的监督检查或者向监督检查部门提供虚假情况；</w:t>
      </w:r>
    </w:p>
    <w:p>
      <w:pPr>
        <w:pStyle w:val="null5"/>
        <w:ind w:firstLine="480"/>
        <w:jc w:val="both"/>
      </w:pPr>
      <w:r>
        <w:rPr>
          <w:rFonts w:ascii="仿宋_GB2312" w:hAnsi="仿宋_GB2312" w:cs="仿宋_GB2312" w:eastAsia="仿宋_GB2312"/>
        </w:rPr>
        <w:t>十四、法律法规规定的其他禁止情形。</w:t>
      </w:r>
    </w:p>
    <w:p>
      <w:pPr>
        <w:pStyle w:val="null5"/>
        <w:ind w:firstLine="480"/>
        <w:jc w:val="both"/>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政府采购活动中，采购人员及相关人员与投标人有下列利害关系之一的，应当回避：</w:t>
      </w:r>
    </w:p>
    <w:p>
      <w:pPr>
        <w:pStyle w:val="null5"/>
        <w:ind w:firstLine="480"/>
        <w:jc w:val="both"/>
      </w:pPr>
      <w:r>
        <w:rPr>
          <w:rFonts w:ascii="仿宋_GB2312" w:hAnsi="仿宋_GB2312" w:cs="仿宋_GB2312" w:eastAsia="仿宋_GB2312"/>
        </w:rPr>
        <w:t>一、参加采购活动前 3 年内与投标人存在劳动关系；</w:t>
      </w:r>
    </w:p>
    <w:p>
      <w:pPr>
        <w:pStyle w:val="null5"/>
        <w:ind w:firstLine="480"/>
        <w:jc w:val="both"/>
      </w:pPr>
      <w:r>
        <w:rPr>
          <w:rFonts w:ascii="仿宋_GB2312" w:hAnsi="仿宋_GB2312" w:cs="仿宋_GB2312" w:eastAsia="仿宋_GB2312"/>
        </w:rPr>
        <w:t>二、参加采购活动前 3 年内担任投标人的董事、监事；</w:t>
      </w:r>
    </w:p>
    <w:p>
      <w:pPr>
        <w:pStyle w:val="null5"/>
        <w:ind w:firstLine="480"/>
        <w:jc w:val="both"/>
      </w:pPr>
      <w:r>
        <w:rPr>
          <w:rFonts w:ascii="仿宋_GB2312" w:hAnsi="仿宋_GB2312" w:cs="仿宋_GB2312" w:eastAsia="仿宋_GB2312"/>
        </w:rPr>
        <w:t>三、参加采购活动前 3 年内是投标人的控股股东或者实际控制人；</w:t>
      </w:r>
    </w:p>
    <w:p>
      <w:pPr>
        <w:pStyle w:val="null5"/>
        <w:ind w:firstLine="480"/>
        <w:jc w:val="both"/>
      </w:pPr>
      <w:r>
        <w:rPr>
          <w:rFonts w:ascii="仿宋_GB2312" w:hAnsi="仿宋_GB2312" w:cs="仿宋_GB2312" w:eastAsia="仿宋_GB2312"/>
        </w:rPr>
        <w:t>四、与投标人的法定代表人或者负责人有夫妻、直系血亲、三代以内旁系血亲或者近姻亲关系；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投标人有其他可能影响政府采购活动公平、公正进行的关系。投标人认为采购人员及相关人员与其他投标人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二、投标人询问、质疑的答复主体：</w:t>
      </w:r>
    </w:p>
    <w:p>
      <w:pPr>
        <w:pStyle w:val="null5"/>
        <w:ind w:firstLine="480"/>
        <w:jc w:val="both"/>
      </w:pPr>
      <w:r>
        <w:rPr>
          <w:rFonts w:ascii="仿宋_GB2312" w:hAnsi="仿宋_GB2312" w:cs="仿宋_GB2312" w:eastAsia="仿宋_GB2312"/>
        </w:rPr>
        <w:t>根据委托代理协议约定，投标人对招标文件中采购需求的询问、质疑由</w:t>
      </w:r>
      <w:r>
        <w:rPr>
          <w:rFonts w:ascii="仿宋_GB2312" w:hAnsi="仿宋_GB2312" w:cs="仿宋_GB2312" w:eastAsia="仿宋_GB2312"/>
        </w:rPr>
        <w:t>山东第一医科大学</w:t>
      </w:r>
      <w:r>
        <w:rPr>
          <w:rFonts w:ascii="仿宋_GB2312" w:hAnsi="仿宋_GB2312" w:cs="仿宋_GB2312" w:eastAsia="仿宋_GB2312"/>
        </w:rPr>
        <w:t>负责答复；投标人对除采购需求外的招标文件的询问、质疑由</w:t>
      </w:r>
      <w:r>
        <w:rPr>
          <w:rFonts w:ascii="仿宋_GB2312" w:hAnsi="仿宋_GB2312" w:cs="仿宋_GB2312" w:eastAsia="仿宋_GB2312"/>
        </w:rPr>
        <w:t>山东天惠兴招标咨询有限公司</w:t>
      </w:r>
      <w:r>
        <w:rPr>
          <w:rFonts w:ascii="仿宋_GB2312" w:hAnsi="仿宋_GB2312" w:cs="仿宋_GB2312" w:eastAsia="仿宋_GB2312"/>
        </w:rPr>
        <w:t>负责答复；投标人对采购过程、采购结果的询问、质疑由</w:t>
      </w:r>
      <w:r>
        <w:rPr>
          <w:rFonts w:ascii="仿宋_GB2312" w:hAnsi="仿宋_GB2312" w:cs="仿宋_GB2312" w:eastAsia="仿宋_GB2312"/>
        </w:rPr>
        <w:t>山东天惠兴招标咨询有限公司</w:t>
      </w:r>
      <w:r>
        <w:rPr>
          <w:rFonts w:ascii="仿宋_GB2312" w:hAnsi="仿宋_GB2312" w:cs="仿宋_GB2312" w:eastAsia="仿宋_GB2312"/>
        </w:rPr>
        <w:t>负责答复。投标人提出的询问或者质疑超出采购人对代理机构委托授权范围的，代理机构应当告知投标人向采购人提出。采购人、代理机构对答复主体存在争议的，由采购人负责答复。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联系人：崔老师</w:t>
      </w:r>
    </w:p>
    <w:p>
      <w:pPr>
        <w:pStyle w:val="null5"/>
        <w:jc w:val="left"/>
      </w:pPr>
      <w:r>
        <w:rPr>
          <w:rFonts w:ascii="仿宋_GB2312" w:hAnsi="仿宋_GB2312" w:cs="仿宋_GB2312" w:eastAsia="仿宋_GB2312"/>
        </w:rPr>
        <w:t>联系电话：0531-88953181</w:t>
      </w:r>
    </w:p>
    <w:p>
      <w:pPr>
        <w:pStyle w:val="null5"/>
        <w:jc w:val="left"/>
      </w:pPr>
      <w:r>
        <w:rPr>
          <w:rFonts w:ascii="仿宋_GB2312" w:hAnsi="仿宋_GB2312" w:cs="仿宋_GB2312" w:eastAsia="仿宋_GB2312"/>
        </w:rPr>
        <w:t>地址：济南市高新区舜海路219号华创观礼中心A座302室</w:t>
      </w:r>
    </w:p>
    <w:p>
      <w:pPr>
        <w:pStyle w:val="null5"/>
        <w:jc w:val="left"/>
      </w:pPr>
      <w:r>
        <w:rPr>
          <w:rFonts w:ascii="仿宋_GB2312" w:hAnsi="仿宋_GB2312" w:cs="仿宋_GB2312" w:eastAsia="仿宋_GB2312"/>
        </w:rPr>
        <w:t>邮编：250000</w:t>
      </w:r>
    </w:p>
    <w:p>
      <w:pPr>
        <w:pStyle w:val="null5"/>
        <w:ind w:firstLine="480"/>
        <w:jc w:val="both"/>
      </w:pPr>
      <w:r>
        <w:rPr>
          <w:rFonts w:ascii="仿宋_GB2312" w:hAnsi="仿宋_GB2312" w:cs="仿宋_GB2312" w:eastAsia="仿宋_GB2312"/>
        </w:rPr>
        <w:t>三、投标人提出的询问，应当明确询问事项，如以书面形式提出的，应由投标人签字并加盖公章。</w:t>
      </w:r>
    </w:p>
    <w:p>
      <w:pPr>
        <w:pStyle w:val="null5"/>
        <w:ind w:firstLine="480"/>
        <w:jc w:val="both"/>
      </w:pPr>
      <w:r>
        <w:rPr>
          <w:rFonts w:ascii="仿宋_GB2312" w:hAnsi="仿宋_GB2312" w:cs="仿宋_GB2312" w:eastAsia="仿宋_GB2312"/>
        </w:rPr>
        <w:t>四、投标人认为招标文件、采购过程、中标结果使自己的权益受到损害的，可以在知道或者应知其权益受到损害之日起 7 个工作日内，以书面形式向采购人、代理机构提出质疑。投标人应在法定质疑期内一次性提出针对同一采购程序环节的质疑。投标人应知其权益受到损害之日，是指：</w:t>
      </w:r>
    </w:p>
    <w:p>
      <w:pPr>
        <w:pStyle w:val="null5"/>
        <w:ind w:firstLine="480"/>
        <w:jc w:val="both"/>
      </w:pPr>
      <w:r>
        <w:rPr>
          <w:rFonts w:ascii="仿宋_GB2312" w:hAnsi="仿宋_GB2312" w:cs="仿宋_GB2312" w:eastAsia="仿宋_GB2312"/>
        </w:rPr>
        <w:t>（一）对可以质疑的招标文件提出质疑的，为收到招标文件之日或者招标文件公告期限届满之日；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（三）对中标结果提出质疑的，为中标结果公告期限届满之日。</w:t>
      </w:r>
    </w:p>
    <w:p>
      <w:pPr>
        <w:pStyle w:val="null5"/>
        <w:ind w:firstLine="480"/>
        <w:jc w:val="both"/>
      </w:pPr>
      <w:r>
        <w:rPr>
          <w:rFonts w:ascii="仿宋_GB2312" w:hAnsi="仿宋_GB2312" w:cs="仿宋_GB2312" w:eastAsia="仿宋_GB2312"/>
        </w:rPr>
        <w:t>五、投标人通过书面形式线下向采购人或者代理机构提交质疑资料。</w:t>
      </w:r>
    </w:p>
    <w:p>
      <w:pPr>
        <w:pStyle w:val="null5"/>
        <w:ind w:firstLine="480"/>
        <w:jc w:val="both"/>
      </w:pPr>
      <w:r>
        <w:rPr>
          <w:rFonts w:ascii="仿宋_GB2312" w:hAnsi="仿宋_GB2312" w:cs="仿宋_GB2312" w:eastAsia="仿宋_GB2312"/>
        </w:rPr>
        <w:t>六、投标人提出质疑时应当准备的资料: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5"/>
        <w:ind w:firstLine="480"/>
        <w:jc w:val="both"/>
      </w:pPr>
      <w:r>
        <w:rPr>
          <w:rFonts w:ascii="仿宋_GB2312" w:hAnsi="仿宋_GB2312" w:cs="仿宋_GB2312" w:eastAsia="仿宋_GB2312"/>
        </w:rPr>
        <w:t>注：根据《中华人民共和国政府采购法》的规定，投标人质疑不得超出招标文件、采购过程、采购结果的范围。</w:t>
      </w:r>
    </w:p>
    <w:p>
      <w:pPr>
        <w:pStyle w:val="null5"/>
        <w:ind w:firstLine="480"/>
        <w:jc w:val="both"/>
      </w:pPr>
      <w:r>
        <w:rPr>
          <w:rFonts w:ascii="仿宋_GB2312" w:hAnsi="仿宋_GB2312" w:cs="仿宋_GB2312" w:eastAsia="仿宋_GB2312"/>
        </w:rPr>
        <w:t>七、投标人对采购人或者代理机构的质疑答复不满意、采购人或者代理机构未在规定期限内作出答复的，投标人可以在答复期满后 15 个工作日内向同级财政部门提起投诉。</w:t>
      </w:r>
    </w:p>
    <w:p>
      <w:pPr>
        <w:pStyle w:val="null5"/>
        <w:ind w:firstLine="480"/>
        <w:jc w:val="both"/>
      </w:pPr>
      <w:r>
        <w:rPr>
          <w:rFonts w:ascii="仿宋_GB2312" w:hAnsi="仿宋_GB2312" w:cs="仿宋_GB2312" w:eastAsia="仿宋_GB2312"/>
        </w:rPr>
        <w:t>八、法律责任</w:t>
      </w:r>
    </w:p>
    <w:p>
      <w:pPr>
        <w:pStyle w:val="null5"/>
        <w:ind w:firstLine="480"/>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投标人在全国范围 12 个月内三次以上投诉查无实据的，由财政部门列入不良行为记录名单。投标人有下列行为之一的，属于虚假、恶意投诉，由财政部门列入不良行为记录名单，禁止其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（三）以非法手段取得证明材料。证据来源的合法性存在明显疑问，投标人无法证明其取得方式合法的，视为以非法手段取得证明材 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left"/>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 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jc w:val="left"/>
      </w:pPr>
      <w:r>
        <w:rPr>
          <w:rFonts w:ascii="仿宋_GB2312" w:hAnsi="仿宋_GB2312" w:cs="仿宋_GB2312" w:eastAsia="仿宋_GB2312"/>
        </w:rPr>
        <w:t>采购包2：本采购包无需提交样品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both"/>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6,500,000.00</w:t>
      </w:r>
    </w:p>
    <w:p>
      <w:pPr>
        <w:pStyle w:val="null5"/>
        <w:jc w:val="left"/>
      </w:pPr>
      <w:r>
        <w:rPr>
          <w:rFonts w:ascii="仿宋_GB2312" w:hAnsi="仿宋_GB2312" w:cs="仿宋_GB2312" w:eastAsia="仿宋_GB2312"/>
        </w:rPr>
        <w:t>采购包最高限价（元）: 6,500,000.00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龙山厅</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6,500,000.00</w:t>
            </w:r>
          </w:p>
        </w:tc>
        <w:tc>
          <w:tcPr>
            <w:tcW w:type="dxa" w:w="923"/>
          </w:tcPr>
          <w:p>
            <w:pPr>
              <w:pStyle w:val="null5"/>
              <w:jc w:val="left"/>
            </w:pPr>
            <w:r>
              <w:rPr>
                <w:rFonts w:ascii="仿宋_GB2312" w:hAnsi="仿宋_GB2312" w:cs="仿宋_GB2312" w:eastAsia="仿宋_GB2312"/>
              </w:rPr>
              <w:t>餐饮业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5,500,000.00</w:t>
      </w:r>
    </w:p>
    <w:p>
      <w:pPr>
        <w:pStyle w:val="null5"/>
        <w:jc w:val="left"/>
      </w:pPr>
      <w:r>
        <w:rPr>
          <w:rFonts w:ascii="仿宋_GB2312" w:hAnsi="仿宋_GB2312" w:cs="仿宋_GB2312" w:eastAsia="仿宋_GB2312"/>
        </w:rPr>
        <w:t>采购包最高限价（元）: 5,500,000.00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凤凰厅（含天烛厅）</w:t>
            </w:r>
          </w:p>
        </w:tc>
        <w:tc>
          <w:tcPr>
            <w:tcW w:type="dxa" w:w="923"/>
          </w:tcPr>
          <w:p>
            <w:pPr>
              <w:pStyle w:val="null5"/>
              <w:jc w:val="right"/>
            </w:pPr>
            <w:r>
              <w:rPr>
                <w:rFonts w:ascii="仿宋_GB2312" w:hAnsi="仿宋_GB2312" w:cs="仿宋_GB2312" w:eastAsia="仿宋_GB2312"/>
              </w:rPr>
              <w:t>1.00（宗）</w:t>
            </w:r>
          </w:p>
        </w:tc>
        <w:tc>
          <w:tcPr>
            <w:tcW w:type="dxa" w:w="923"/>
          </w:tcPr>
          <w:p>
            <w:pPr>
              <w:pStyle w:val="null5"/>
              <w:jc w:val="right"/>
            </w:pPr>
            <w:r>
              <w:rPr>
                <w:rFonts w:ascii="仿宋_GB2312" w:hAnsi="仿宋_GB2312" w:cs="仿宋_GB2312" w:eastAsia="仿宋_GB2312"/>
              </w:rPr>
              <w:t>5,500,000.00</w:t>
            </w:r>
          </w:p>
        </w:tc>
        <w:tc>
          <w:tcPr>
            <w:tcW w:type="dxa" w:w="923"/>
          </w:tcPr>
          <w:p>
            <w:pPr>
              <w:pStyle w:val="null5"/>
              <w:jc w:val="left"/>
            </w:pPr>
            <w:r>
              <w:rPr>
                <w:rFonts w:ascii="仿宋_GB2312" w:hAnsi="仿宋_GB2312" w:cs="仿宋_GB2312" w:eastAsia="仿宋_GB2312"/>
              </w:rPr>
              <w:t>餐饮业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both"/>
      </w:pPr>
      <w:r>
        <w:rPr>
          <w:rFonts w:ascii="仿宋_GB2312" w:hAnsi="仿宋_GB2312" w:cs="仿宋_GB2312" w:eastAsia="仿宋_GB2312"/>
        </w:rPr>
        <w:t>报价要求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龙山厅</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w:t>
            </w:r>
          </w:p>
        </w:tc>
        <w:tc>
          <w:tcPr>
            <w:tcW w:type="dxa" w:w="1384"/>
          </w:tcPr>
          <w:p>
            <w:pPr>
              <w:pStyle w:val="null5"/>
              <w:jc w:val="right"/>
            </w:pPr>
            <w:r>
              <w:rPr>
                <w:rFonts w:ascii="仿宋_GB2312" w:hAnsi="仿宋_GB2312" w:cs="仿宋_GB2312" w:eastAsia="仿宋_GB2312"/>
              </w:rPr>
              <w:t>37.00</w:t>
            </w:r>
          </w:p>
        </w:tc>
        <w:tc>
          <w:tcPr>
            <w:tcW w:type="dxa" w:w="1384"/>
          </w:tcPr>
          <w:p>
            <w:pPr>
              <w:pStyle w:val="null5"/>
              <w:jc w:val="left"/>
            </w:pPr>
            <w:r>
              <w:rPr>
                <w:rFonts w:ascii="仿宋_GB2312" w:hAnsi="仿宋_GB2312" w:cs="仿宋_GB2312" w:eastAsia="仿宋_GB2312"/>
              </w:rPr>
              <w:t>餐饮企业服务费（餐饮劳务服务费）</w:t>
            </w:r>
          </w:p>
        </w:tc>
        <w:tc>
          <w:tcPr>
            <w:tcW w:type="dxa" w:w="1038"/>
          </w:tcPr>
          <w:p>
            <w:pPr>
              <w:pStyle w:val="null5"/>
              <w:jc w:val="left"/>
            </w:pPr>
            <w:r>
              <w:rPr>
                <w:rFonts w:ascii="仿宋_GB2312" w:hAnsi="仿宋_GB2312" w:cs="仿宋_GB2312" w:eastAsia="仿宋_GB2312"/>
              </w:rPr>
              <w:t>餐饮企业服务费（餐饮劳务服务费）</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凤凰厅（含天烛厅）</w:t>
            </w:r>
          </w:p>
        </w:tc>
        <w:tc>
          <w:tcPr>
            <w:tcW w:type="dxa" w:w="554"/>
          </w:tcPr>
          <w:p>
            <w:pPr>
              <w:pStyle w:val="null5"/>
              <w:jc w:val="left"/>
            </w:pPr>
            <w:r>
              <w:rPr>
                <w:rFonts w:ascii="仿宋_GB2312" w:hAnsi="仿宋_GB2312" w:cs="仿宋_GB2312" w:eastAsia="仿宋_GB2312"/>
              </w:rPr>
              <w:t>宗</w:t>
            </w:r>
          </w:p>
        </w:tc>
        <w:tc>
          <w:tcPr>
            <w:tcW w:type="dxa" w:w="554"/>
          </w:tcPr>
          <w:p>
            <w:pPr>
              <w:pStyle w:val="null5"/>
              <w:jc w:val="left"/>
            </w:pPr>
            <w:r>
              <w:rPr>
                <w:rFonts w:ascii="仿宋_GB2312" w:hAnsi="仿宋_GB2312" w:cs="仿宋_GB2312" w:eastAsia="仿宋_GB2312"/>
              </w:rPr>
              <w:t>%</w:t>
            </w:r>
          </w:p>
        </w:tc>
        <w:tc>
          <w:tcPr>
            <w:tcW w:type="dxa" w:w="1384"/>
          </w:tcPr>
          <w:p>
            <w:pPr>
              <w:pStyle w:val="null5"/>
              <w:jc w:val="right"/>
            </w:pPr>
            <w:r>
              <w:rPr>
                <w:rFonts w:ascii="仿宋_GB2312" w:hAnsi="仿宋_GB2312" w:cs="仿宋_GB2312" w:eastAsia="仿宋_GB2312"/>
              </w:rPr>
              <w:t>37.00</w:t>
            </w:r>
          </w:p>
        </w:tc>
        <w:tc>
          <w:tcPr>
            <w:tcW w:type="dxa" w:w="1384"/>
          </w:tcPr>
          <w:p>
            <w:pPr>
              <w:pStyle w:val="null5"/>
              <w:jc w:val="left"/>
            </w:pPr>
            <w:r>
              <w:rPr>
                <w:rFonts w:ascii="仿宋_GB2312" w:hAnsi="仿宋_GB2312" w:cs="仿宋_GB2312" w:eastAsia="仿宋_GB2312"/>
              </w:rPr>
              <w:t>餐饮企业服务费（餐饮劳务服务费）</w:t>
            </w:r>
          </w:p>
        </w:tc>
        <w:tc>
          <w:tcPr>
            <w:tcW w:type="dxa" w:w="1038"/>
          </w:tcPr>
          <w:p>
            <w:pPr>
              <w:pStyle w:val="null5"/>
              <w:jc w:val="left"/>
            </w:pPr>
            <w:r>
              <w:rPr>
                <w:rFonts w:ascii="仿宋_GB2312" w:hAnsi="仿宋_GB2312" w:cs="仿宋_GB2312" w:eastAsia="仿宋_GB2312"/>
              </w:rPr>
              <w:t>餐饮企业服务费（餐饮劳务服务费）</w:t>
            </w:r>
          </w:p>
        </w:tc>
      </w:tr>
    </w:tbl>
    <w:p>
      <w:pPr>
        <w:pStyle w:val="null5"/>
        <w:ind w:firstLine="480"/>
        <w:jc w:val="both"/>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both"/>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5"/>
        <w:ind w:firstLine="480"/>
        <w:jc w:val="both"/>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5"/>
        <w:ind w:firstLine="480"/>
        <w:jc w:val="both"/>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标的名称：龙山厅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一、项目概况（一）项目综述</w:t>
            </w:r>
          </w:p>
        </w:tc>
        <w:tc>
          <w:tcPr>
            <w:tcW w:type="dxa" w:w="2076"/>
          </w:tcPr>
          <w:p>
            <w:pPr>
              <w:pStyle w:val="null5"/>
              <w:jc w:val="left"/>
            </w:pPr>
            <w:r>
              <w:rPr>
                <w:rFonts w:ascii="仿宋_GB2312" w:hAnsi="仿宋_GB2312" w:cs="仿宋_GB2312" w:eastAsia="仿宋_GB2312"/>
              </w:rPr>
              <w:t>本项目旨在为山东第一医科大学泰安校区龙山厅、凤凰厅和天烛厅提供自主经营服务，通过引进优质餐饮企业，提供专业化、高质量的餐饮劳务服务，实现食堂的自主经营改革。项目共需引进两家餐饮劳务服务企业，分别负责采购包1龙山厅、采购包2凤凰厅（含天烛厅）的餐饮劳务服务。</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一、项目概况（二）项目分包情况</w:t>
            </w:r>
          </w:p>
        </w:tc>
        <w:tc>
          <w:tcPr>
            <w:tcW w:type="dxa" w:w="2076"/>
          </w:tcPr>
          <w:p>
            <w:pPr>
              <w:pStyle w:val="null5"/>
              <w:jc w:val="left"/>
            </w:pPr>
            <w:r>
              <w:rPr>
                <w:rFonts w:ascii="仿宋_GB2312" w:hAnsi="仿宋_GB2312" w:cs="仿宋_GB2312" w:eastAsia="仿宋_GB2312"/>
              </w:rPr>
              <w:t>采购包1：泰安校区龙山厅，建筑面积约3140㎡，在校生8000余人；餐厅已具备基本设施：安防监控、空调、一卡通售饭系统、餐桌椅、基本厨具、炉具等。水、电、暖、燃气等具备使用条件。满足师生基本餐饮需求，基本大伙占40％以上，兼顾特色风味；分别设置独立的特色就餐区域和休读区域如咖啡吧、读书休闲吧等；餐厅设有民族窗口（数量根据学生就餐需求确定，符合国家民族政策，保证连续配齐2人以上少数民族工作人员，提供身份证扫描件和3年以上社保证明）。</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一、项目概况（二）项目分包情况</w:t>
            </w:r>
          </w:p>
        </w:tc>
        <w:tc>
          <w:tcPr>
            <w:tcW w:type="dxa" w:w="2076"/>
          </w:tcPr>
          <w:p>
            <w:pPr>
              <w:pStyle w:val="null5"/>
              <w:jc w:val="left"/>
            </w:pPr>
            <w:r>
              <w:rPr>
                <w:rFonts w:ascii="仿宋_GB2312" w:hAnsi="仿宋_GB2312" w:cs="仿宋_GB2312" w:eastAsia="仿宋_GB2312"/>
              </w:rPr>
              <w:t>本项目兼投不兼中，投标人可投一包或者多包，但兼投不兼中。若同一投标人在多包的评审排名均为第一时，确定中标人的规则如下：按采购包1、采购包2的顺序依次确定中标标包。</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二、投标限价</w:t>
            </w:r>
          </w:p>
        </w:tc>
        <w:tc>
          <w:tcPr>
            <w:tcW w:type="dxa" w:w="2076"/>
          </w:tcPr>
          <w:p>
            <w:pPr>
              <w:pStyle w:val="null5"/>
              <w:jc w:val="left"/>
            </w:pPr>
            <w:r>
              <w:rPr>
                <w:rFonts w:ascii="仿宋_GB2312" w:hAnsi="仿宋_GB2312" w:cs="仿宋_GB2312" w:eastAsia="仿宋_GB2312"/>
              </w:rPr>
              <w:t>设置餐饮企业服务费（餐饮劳务服务费）不高于37%，作为招标项目。 其他费用说明： （1）学生食堂毛利率须控制在48%以内。毛利率=（当月营业额-当月原材料(主辅料和调料）的实际消耗）/当月营业收入*100%；原材料(主辅料和调料）的实际消耗=期初库存+当期入库-期末库存； （2）动力成本依据各类动力资源的实际消耗总额进行精确计入，且其占比控制在总成本的5%，由餐饮服务单位提取。对于动力成本低于5%的节省部分，将归属于餐饮服务单位，以示对其节能降耗行为的激励；而若动力成本超出5%，其超出部分将从餐饮企业服务费中予以扣除。 （3）维修维护、办公费、折旧费及日消耗费用等。占总成本的比例控制在4%，由餐饮服务单位提取。以保障食堂设施设备的持续稳定运行与适时更新换代以及餐饮具购置等日消耗费用。对于单项2万元以下的小型维修、2万元以上的维修项目因餐饮服务企业责任的非正常损坏，其维修费用将由餐饮服务企业自行承担；而对于单件（单批次）10万元以上的大型餐饮设备购置和更新、单项2万元以上的正常维修项目，则可依程序向学校提出申请，由学校预算予以合理安排。设备设施维护保养和维修不符合相关规定和学校要求的，经督促仍不整改执行的，学校为保证食堂安全稳定运行，可以采取强制维修措施，费用从该公司维修费用中扣除，不足部分从餐饮企业服务费中扣除。</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三、履约担保</w:t>
            </w:r>
          </w:p>
        </w:tc>
        <w:tc>
          <w:tcPr>
            <w:tcW w:type="dxa" w:w="2076"/>
          </w:tcPr>
          <w:p>
            <w:pPr>
              <w:pStyle w:val="null5"/>
              <w:jc w:val="left"/>
            </w:pPr>
            <w:r>
              <w:rPr>
                <w:rFonts w:ascii="仿宋_GB2312" w:hAnsi="仿宋_GB2312" w:cs="仿宋_GB2312" w:eastAsia="仿宋_GB2312"/>
              </w:rPr>
              <w:t>1.因政策原因及不可抗力因素，采购人有权终止合同，且不承担任何责任。</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三、履约担保</w:t>
            </w:r>
          </w:p>
        </w:tc>
        <w:tc>
          <w:tcPr>
            <w:tcW w:type="dxa" w:w="2076"/>
          </w:tcPr>
          <w:p>
            <w:pPr>
              <w:pStyle w:val="null5"/>
              <w:jc w:val="left"/>
            </w:pPr>
            <w:r>
              <w:rPr>
                <w:rFonts w:ascii="仿宋_GB2312" w:hAnsi="仿宋_GB2312" w:cs="仿宋_GB2312" w:eastAsia="仿宋_GB2312"/>
              </w:rPr>
              <w:t>2.自中标（成交）公告发布之日起5日内，采购包1中标人向采购人一次性交付合同金额的5%（如中标人是中小企业收取比例为2%）的履约保证金；逾期未交至采购人指定账户的，视为自动放弃中标资格，并承担因此对采购人造成的损失。</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三、履约担保</w:t>
            </w:r>
          </w:p>
        </w:tc>
        <w:tc>
          <w:tcPr>
            <w:tcW w:type="dxa" w:w="2076"/>
          </w:tcPr>
          <w:p>
            <w:pPr>
              <w:pStyle w:val="null5"/>
              <w:jc w:val="left"/>
            </w:pPr>
            <w:r>
              <w:rPr>
                <w:rFonts w:ascii="仿宋_GB2312" w:hAnsi="仿宋_GB2312" w:cs="仿宋_GB2312" w:eastAsia="仿宋_GB2312"/>
              </w:rPr>
              <w:t>3.若中标人在合同期内无违约违规行为，期满后履约保证金全额无息返还。若中标人在合同期内因未履行本合同约定的各种事项被采购人扣减履约保证金,中标人应在采购人扣减履约保证金的1个月之内补齐差额，否则，采购人有权解除合同，中标人承担相应违约责任。</w:t>
            </w:r>
          </w:p>
        </w:tc>
      </w:tr>
      <w:tr>
        <w:tc>
          <w:tcPr>
            <w:tcW w:type="dxa" w:w="2076"/>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四、项目要求1.服务承诺</w:t>
            </w:r>
          </w:p>
        </w:tc>
        <w:tc>
          <w:tcPr>
            <w:tcW w:type="dxa" w:w="2076"/>
          </w:tcPr>
          <w:p>
            <w:pPr>
              <w:pStyle w:val="null5"/>
              <w:jc w:val="left"/>
            </w:pPr>
            <w:r>
              <w:rPr>
                <w:rFonts w:ascii="仿宋_GB2312" w:hAnsi="仿宋_GB2312" w:cs="仿宋_GB2312" w:eastAsia="仿宋_GB2312"/>
              </w:rPr>
              <w:t>（1）近三年经营过程中无群体性食物中毒、卫生、防疫等食品安全事故；无食品安全或学校罢餐及其他较大责任事故记录（提供加盖公章的承诺函，格式自拟） （2）提供完全接受采购人管理、承担经营风险、优质文明服务的承诺（加盖公章，格式自拟）。 （3）提供配合师生满意度调研、师生意见建议整改措施的承诺（加盖公章，格式自拟）。</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四、项目要求2.服务要求</w:t>
            </w:r>
          </w:p>
        </w:tc>
        <w:tc>
          <w:tcPr>
            <w:tcW w:type="dxa" w:w="2076"/>
          </w:tcPr>
          <w:p>
            <w:pPr>
              <w:pStyle w:val="null5"/>
              <w:jc w:val="left"/>
            </w:pPr>
            <w:r>
              <w:rPr>
                <w:rFonts w:ascii="仿宋_GB2312" w:hAnsi="仿宋_GB2312" w:cs="仿宋_GB2312" w:eastAsia="仿宋_GB2312"/>
              </w:rPr>
              <w:t>（1）服务定位及需求 ①根据采购人餐饮布局和大众化学生需求，突出食堂办伙公益性，保证食堂的早餐、午餐、晚餐正常开伙，满足就餐师生的用餐需求，寒暑假及节假日根据采购人的安排进行供餐。 ②供应商提供专业化服务，充分发挥餐饮供应商专业团队优势、技术优势、安全管理经验，满足本项目的饮食保障和需求，按照采购人要求完成采购人各项考核指标，服从采购人管理。 （2）协助采购人进行成本控制 ①本项目食堂经营服务总成本包括原材料(主辅料和调料）成本、动力(水电气等)成本、人员经费、办公费、维护维修费、餐用具购置费等，不包括食堂房屋建筑物及采购人投入的大型设施设备折旧。 ②所有财务活动纳入采购人财务部门统一管理，收支全部纳入采购人财务账户核算。 ③采购人指定食堂消费支付和结算方式，严禁使用采购人指定以外的任何收费方式。 ④中标人应采取足够有效的措施协助采购人合理控制食堂成本，各项成本控制比例符合规定，主动接受采购人的监督、检查及业务指导。 ⑤学生食堂毛利率须控制在48%以内。毛利率计算方法：毛利率=（当月营业收入-当月原材料(主辅料和调料）的实际消耗）/当月营业收入*100%；原材料(主辅料和调料）的实际消耗=期初库存+当期入库-期末库存。 （3）费用结算 毛利内各类费用按照以下顺序依次支付： ①采购人招聘管理辅助人员经费（当月营业额的2%）。 ②食堂当月动力成本费用（当月营业额的5%）。 ③供应商食堂维修维护、办公费、折旧费及日消耗费用等（当月营业额的4%）。包含食堂运营所需设备设施的维护、维修、保养、更新、餐用具购置费、日常消耗支出、低耗物资费用、食堂购置设备的折旧及投入必要的装修装饰美化等费用。设备设施维护保养和维修不符合相关规定和采购人的要求的，经督促仍不整改执行的，采购人为保证食堂安全稳定运行，可以采取强制维修措施，费用从该公司维修费用中扣除，不足部分从餐饮企业服务费中扣除。 ④当月考核奖惩费用。 ⑤中标人餐饮企业服务费，采购人每月按照中标价支付给中标人。食堂一线从业人员全部由中标人聘用，且在食堂内从事各岗位工作。该项经费包括人员工资奖金费用、社会保险费用、意外伤害保险、各类福利等，具体发放细则由中标人自行决定。</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四、项目要求3.伙食结构要求</w:t>
            </w:r>
          </w:p>
        </w:tc>
        <w:tc>
          <w:tcPr>
            <w:tcW w:type="dxa" w:w="2076"/>
          </w:tcPr>
          <w:p>
            <w:pPr>
              <w:pStyle w:val="null5"/>
              <w:jc w:val="left"/>
            </w:pPr>
            <w:r>
              <w:rPr>
                <w:rFonts w:ascii="仿宋_GB2312" w:hAnsi="仿宋_GB2312" w:cs="仿宋_GB2312" w:eastAsia="仿宋_GB2312"/>
              </w:rPr>
              <w:t>（1）基本大伙说明。食堂基本大伙高、中、低价位的菜品搭配合理，低价菜（2元以下）所占比例不得低于20%。用餐高峰期间，菜品需保持在40个品种以上（不含小咸菜），各式面食品种须保持在20个以上；稀饭汤类品种不少于8个。早餐品种面食类不少于20个品种；稀饭汤类不少于8个品种。早餐须提供免费咸菜，午、晚餐须提供免费汤品，免费汤品要专人操作，做到人在桶在，人走桶收。 （2）特色窗口说明。设有特色窗口，中标人需按要求提供特色窗口从业人员。 （3）饭菜结构说明。每餐配置的高、中、低价菜肴品种比例约为4:4:2，每份菜肴净重300克左右，可售半份菜或拼菜。</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四、项目要求4.食品原材料要求</w:t>
            </w:r>
          </w:p>
        </w:tc>
        <w:tc>
          <w:tcPr>
            <w:tcW w:type="dxa" w:w="2076"/>
          </w:tcPr>
          <w:p>
            <w:pPr>
              <w:pStyle w:val="null5"/>
              <w:jc w:val="left"/>
            </w:pPr>
            <w:r>
              <w:rPr>
                <w:rFonts w:ascii="仿宋_GB2312" w:hAnsi="仿宋_GB2312" w:cs="仿宋_GB2312" w:eastAsia="仿宋_GB2312"/>
              </w:rPr>
              <w:t>进入食堂的食品原料由采购人集中统一采购，双方指定专人做好验收、索证索票及出入库管理工作，采购人对食堂的食品原材料管理实行全程监管，中标人私自采购或使用非采购人许可的食品原材料，采购人将根据相关制度予以处罚。</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四、项目要求5.设备设施管理要求</w:t>
            </w:r>
          </w:p>
        </w:tc>
        <w:tc>
          <w:tcPr>
            <w:tcW w:type="dxa" w:w="2076"/>
          </w:tcPr>
          <w:p>
            <w:pPr>
              <w:pStyle w:val="null5"/>
              <w:jc w:val="left"/>
            </w:pPr>
            <w:r>
              <w:rPr>
                <w:rFonts w:ascii="仿宋_GB2312" w:hAnsi="仿宋_GB2312" w:cs="仿宋_GB2312" w:eastAsia="仿宋_GB2312"/>
              </w:rPr>
              <w:t>（1）采购人现有食堂建筑、燃气管路、电路、上下水、暖气、一卡通收费系统、监控系统均可满足食堂开伙的使用，且为正在经营的食堂。中标人在采购人提供的设施设备基础上，根据自身运营的需要可进行合理调整，方案需提前书面报采购人，审核批准后方可实施，相关费用由中标人自行承担。 （2）采购人提供的设备设施产权归属于采购人，中标人接收资产后负责建账、日常使用、维修和管理，使用过程如有损毁由供应商负责维修或赔偿，并承担相关费用；每学期末，由采购人和中标人共同对照清单进行盘点，由中标人向采购人提交每学期资产清单报告；服务期满，中标人按照清单交回的设备设施，须保证可正常使用，未能正常使用或缺失的，由中标人负责赔偿。</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四、项目要求6.用工要求</w:t>
            </w:r>
          </w:p>
        </w:tc>
        <w:tc>
          <w:tcPr>
            <w:tcW w:type="dxa" w:w="2076"/>
          </w:tcPr>
          <w:p>
            <w:pPr>
              <w:pStyle w:val="null5"/>
              <w:ind w:firstLine="480"/>
              <w:jc w:val="left"/>
            </w:pPr>
            <w:r>
              <w:rPr>
                <w:rFonts w:ascii="仿宋_GB2312" w:hAnsi="仿宋_GB2312" w:cs="仿宋_GB2312" w:eastAsia="仿宋_GB2312"/>
                <w:sz w:val="20"/>
                <w:color w:val="000000"/>
              </w:rPr>
              <w:t>（1）中标人保证所有从业人员遵纪守法，严格遵守采购人相关规章制度，并完成布置的各项任务。</w:t>
            </w:r>
          </w:p>
          <w:p>
            <w:pPr>
              <w:pStyle w:val="null5"/>
              <w:ind w:firstLine="480"/>
              <w:jc w:val="left"/>
            </w:pPr>
            <w:r>
              <w:rPr>
                <w:rFonts w:ascii="仿宋_GB2312" w:hAnsi="仿宋_GB2312" w:cs="仿宋_GB2312" w:eastAsia="仿宋_GB2312"/>
                <w:sz w:val="20"/>
                <w:color w:val="000000"/>
              </w:rPr>
              <w:t>（2）食堂工作人员由中标人负责招聘和管理，采购人有权对食堂用工情况进行监督和检查。</w:t>
            </w:r>
          </w:p>
          <w:p>
            <w:pPr>
              <w:pStyle w:val="null5"/>
              <w:ind w:firstLine="480"/>
              <w:jc w:val="left"/>
            </w:pPr>
            <w:r>
              <w:rPr>
                <w:rFonts w:ascii="仿宋_GB2312" w:hAnsi="仿宋_GB2312" w:cs="仿宋_GB2312" w:eastAsia="仿宋_GB2312"/>
                <w:sz w:val="20"/>
                <w:color w:val="000000"/>
              </w:rPr>
              <w:t>（3）中标人所有从业人员必须持有有效的身份证、健康证等，且无违法犯罪记录，严格遵守个人卫生制度，具有良好的个人卫生习惯。杜绝无证人员上岗。</w:t>
            </w:r>
          </w:p>
          <w:p>
            <w:pPr>
              <w:pStyle w:val="null5"/>
              <w:ind w:firstLine="480"/>
              <w:jc w:val="left"/>
            </w:pPr>
            <w:r>
              <w:rPr>
                <w:rFonts w:ascii="仿宋_GB2312" w:hAnsi="仿宋_GB2312" w:cs="仿宋_GB2312" w:eastAsia="仿宋_GB2312"/>
                <w:sz w:val="20"/>
                <w:color w:val="000000"/>
              </w:rPr>
              <w:t>（4）中标人针对本项目：</w:t>
            </w:r>
            <w:r>
              <w:rPr>
                <w:rFonts w:ascii="仿宋_GB2312" w:hAnsi="仿宋_GB2312" w:cs="仿宋_GB2312" w:eastAsia="仿宋_GB2312"/>
                <w:sz w:val="20"/>
                <w:color w:val="000000"/>
              </w:rPr>
              <w:t>龙山厅提供不少于80人，</w:t>
            </w:r>
            <w:r>
              <w:rPr>
                <w:rFonts w:ascii="仿宋_GB2312" w:hAnsi="仿宋_GB2312" w:cs="仿宋_GB2312" w:eastAsia="仿宋_GB2312"/>
                <w:sz w:val="20"/>
                <w:color w:val="000000"/>
              </w:rPr>
              <w:t>管理岗位</w:t>
            </w:r>
            <w:r>
              <w:rPr>
                <w:rFonts w:ascii="仿宋_GB2312" w:hAnsi="仿宋_GB2312" w:cs="仿宋_GB2312" w:eastAsia="仿宋_GB2312"/>
                <w:sz w:val="20"/>
                <w:color w:val="000000"/>
              </w:rPr>
              <w:t>用工需求及岗位职责详见下表，</w:t>
            </w:r>
            <w:r>
              <w:rPr>
                <w:rFonts w:ascii="仿宋_GB2312" w:hAnsi="仿宋_GB2312" w:cs="仿宋_GB2312" w:eastAsia="仿宋_GB2312"/>
                <w:sz w:val="20"/>
                <w:color w:val="000000"/>
              </w:rPr>
              <w:t>其他餐饮服务员按窗口自行配置，并提供相应服务，</w:t>
            </w:r>
            <w:r>
              <w:rPr>
                <w:rFonts w:ascii="仿宋_GB2312" w:hAnsi="仿宋_GB2312" w:cs="仿宋_GB2312" w:eastAsia="仿宋_GB2312"/>
                <w:sz w:val="20"/>
                <w:color w:val="000000"/>
              </w:rPr>
              <w:t>配备的厨师等从业人员须满足本项目运营需求。</w:t>
            </w:r>
          </w:p>
          <w:tbl>
            <w:tblPr>
              <w:tblInd w:type="dxa" w:w="90"/>
              <w:tblBorders>
                <w:top w:val="none" w:color="000000" w:sz="4"/>
                <w:left w:val="none" w:color="000000" w:sz="4"/>
                <w:bottom w:val="none" w:color="000000" w:sz="4"/>
                <w:right w:val="none" w:color="000000" w:sz="4"/>
                <w:insideH w:val="none"/>
                <w:insideV w:val="none"/>
              </w:tblBorders>
            </w:tblPr>
            <w:tblGrid>
              <w:gridCol w:w="399"/>
              <w:gridCol w:w="204"/>
              <w:gridCol w:w="1068"/>
              <w:gridCol w:w="190"/>
            </w:tblGrid>
            <w:tr>
              <w:tc>
                <w:tcPr>
                  <w:tcW w:type="dxa" w:w="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管理岗位名称</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最低人员数量</w:t>
                  </w:r>
                </w:p>
              </w:tc>
              <w:tc>
                <w:tcPr>
                  <w:tcW w:type="dxa" w:w="10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岗位职责及人员要求</w:t>
                  </w:r>
                </w:p>
              </w:tc>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备注</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项目负责人</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1</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年龄≤50周岁。</w:t>
                  </w:r>
                </w:p>
                <w:p>
                  <w:pPr>
                    <w:pStyle w:val="null5"/>
                    <w:ind w:firstLine="380"/>
                    <w:jc w:val="left"/>
                  </w:pPr>
                  <w:r>
                    <w:rPr>
                      <w:rFonts w:ascii="仿宋_GB2312" w:hAnsi="仿宋_GB2312" w:cs="仿宋_GB2312" w:eastAsia="仿宋_GB2312"/>
                      <w:sz w:val="20"/>
                      <w:color w:val="000000"/>
                    </w:rPr>
                    <w:t>负责整体管理、统筹、协调⼯作，负责⽂案、制度规范拟定，质量检查、投诉处理及其他协调⼯作；就餐时间⼤堂值班，处理突发事件等；</w:t>
                  </w:r>
                </w:p>
                <w:p>
                  <w:pPr>
                    <w:pStyle w:val="null5"/>
                    <w:ind w:firstLine="380"/>
                    <w:jc w:val="left"/>
                  </w:pPr>
                  <w:r>
                    <w:rPr>
                      <w:rFonts w:ascii="仿宋_GB2312" w:hAnsi="仿宋_GB2312" w:cs="仿宋_GB2312" w:eastAsia="仿宋_GB2312"/>
                      <w:sz w:val="20"/>
                      <w:color w:val="000000"/>
                    </w:rPr>
                    <w:t>具有3年及以上同类项⽬⼯作经验，提供相关证明材料。</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0"/>
                      <w:color w:val="000000"/>
                    </w:rPr>
                    <w:t>项目助理</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1</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年龄≤50周岁。</w:t>
                  </w:r>
                </w:p>
                <w:p>
                  <w:pPr>
                    <w:pStyle w:val="null5"/>
                    <w:ind w:firstLine="380"/>
                    <w:jc w:val="left"/>
                  </w:pPr>
                  <w:r>
                    <w:rPr>
                      <w:rFonts w:ascii="仿宋_GB2312" w:hAnsi="仿宋_GB2312" w:cs="仿宋_GB2312" w:eastAsia="仿宋_GB2312"/>
                      <w:sz w:val="20"/>
                      <w:color w:val="000000"/>
                    </w:rPr>
                    <w:t>协助项⽬负责人⼯作，配合采购人，协调管理及⽇常采购⼯作等。</w:t>
                  </w:r>
                </w:p>
                <w:p>
                  <w:pPr>
                    <w:pStyle w:val="null5"/>
                    <w:ind w:firstLine="380"/>
                    <w:jc w:val="left"/>
                  </w:pPr>
                  <w:r>
                    <w:rPr>
                      <w:rFonts w:ascii="仿宋_GB2312" w:hAnsi="仿宋_GB2312" w:cs="仿宋_GB2312" w:eastAsia="仿宋_GB2312"/>
                      <w:sz w:val="20"/>
                      <w:color w:val="000000"/>
                    </w:rPr>
                    <w:t>具有1年及以上同类项⽬⼯作经验，提供相关证明材料。</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0"/>
                      <w:color w:val="000000"/>
                    </w:rPr>
                    <w:t>成本核算员</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1</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进行成本核算等相关工作</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0"/>
                      <w:color w:val="000000"/>
                    </w:rPr>
                    <w:t>厨师⻓</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1</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年龄≤50周岁。</w:t>
                  </w:r>
                </w:p>
                <w:p>
                  <w:pPr>
                    <w:pStyle w:val="null5"/>
                    <w:ind w:firstLine="380"/>
                    <w:jc w:val="left"/>
                  </w:pPr>
                  <w:r>
                    <w:rPr>
                      <w:rFonts w:ascii="仿宋_GB2312" w:hAnsi="仿宋_GB2312" w:cs="仿宋_GB2312" w:eastAsia="仿宋_GB2312"/>
                      <w:sz w:val="20"/>
                      <w:color w:val="000000"/>
                    </w:rPr>
                    <w:t>全面管理后厨全班组（厨师、面点、洗消等），⽇常⼯作安排，菜品管理，质量监督把关，营养搭配等。</w:t>
                  </w:r>
                </w:p>
                <w:p>
                  <w:pPr>
                    <w:pStyle w:val="null5"/>
                    <w:ind w:firstLine="380"/>
                    <w:jc w:val="left"/>
                  </w:pPr>
                  <w:r>
                    <w:rPr>
                      <w:rFonts w:ascii="仿宋_GB2312" w:hAnsi="仿宋_GB2312" w:cs="仿宋_GB2312" w:eastAsia="仿宋_GB2312"/>
                      <w:sz w:val="20"/>
                      <w:color w:val="000000"/>
                    </w:rPr>
                    <w:t>具有3年及以上同类项⽬⼯作经验，提供相关证明材料。</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0"/>
                      <w:color w:val="000000"/>
                    </w:rPr>
                    <w:t>食品安全总监</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1</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年龄≤55周岁</w:t>
                  </w:r>
                </w:p>
                <w:p>
                  <w:pPr>
                    <w:pStyle w:val="null5"/>
                    <w:ind w:firstLine="380"/>
                    <w:jc w:val="left"/>
                  </w:pPr>
                  <w:r>
                    <w:rPr>
                      <w:rFonts w:ascii="仿宋_GB2312" w:hAnsi="仿宋_GB2312" w:cs="仿宋_GB2312" w:eastAsia="仿宋_GB2312"/>
                      <w:sz w:val="20"/>
                      <w:color w:val="000000"/>
                    </w:rPr>
                    <w:t>负责日常全流程食品安全风险排查、从业人员健康管理、留样管理监督、食品安全台账标准化管理等</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0"/>
                      <w:color w:val="000000"/>
                    </w:rPr>
                    <w:t>食品安全员</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1</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负责进行食品安全相关工作</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color w:val="000000"/>
                    </w:rPr>
                    <w:t>营养师（可兼职）</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1</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both"/>
                  </w:pPr>
                  <w:r>
                    <w:rPr>
                      <w:rFonts w:ascii="仿宋_GB2312" w:hAnsi="仿宋_GB2312" w:cs="仿宋_GB2312" w:eastAsia="仿宋_GB2312"/>
                      <w:sz w:val="20"/>
                      <w:color w:val="000000"/>
                    </w:rPr>
                    <w:t>年龄≤55周岁</w:t>
                  </w:r>
                </w:p>
                <w:p>
                  <w:pPr>
                    <w:pStyle w:val="null5"/>
                    <w:ind w:firstLine="380"/>
                    <w:jc w:val="left"/>
                  </w:pPr>
                  <w:r>
                    <w:rPr>
                      <w:rFonts w:ascii="仿宋_GB2312" w:hAnsi="仿宋_GB2312" w:cs="仿宋_GB2312" w:eastAsia="仿宋_GB2312"/>
                      <w:sz w:val="20"/>
                      <w:color w:val="000000"/>
                    </w:rPr>
                    <w:t>协助出具食堂营养配餐方案，提供膳食咨询服务，开展营养健康科普宣传等活动，完善营养健康台账等</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both"/>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0"/>
                      <w:color w:val="000000"/>
                    </w:rPr>
                    <w:t>保洁主管</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1</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both"/>
                  </w:pPr>
                  <w:r>
                    <w:rPr>
                      <w:rFonts w:ascii="仿宋_GB2312" w:hAnsi="仿宋_GB2312" w:cs="仿宋_GB2312" w:eastAsia="仿宋_GB2312"/>
                      <w:sz w:val="20"/>
                      <w:color w:val="000000"/>
                    </w:rPr>
                    <w:t>年龄≤55周岁</w:t>
                  </w:r>
                </w:p>
                <w:p>
                  <w:pPr>
                    <w:pStyle w:val="null5"/>
                    <w:ind w:firstLine="380"/>
                    <w:jc w:val="left"/>
                  </w:pPr>
                  <w:r>
                    <w:rPr>
                      <w:rFonts w:ascii="仿宋_GB2312" w:hAnsi="仿宋_GB2312" w:cs="仿宋_GB2312" w:eastAsia="仿宋_GB2312"/>
                      <w:sz w:val="20"/>
                      <w:color w:val="000000"/>
                    </w:rPr>
                    <w:t>统筹全体保洁人员工作，制定清洁消毒计划、有计划地巡查全区域卫生，配合开展卫生隐患整改等</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p>
              </w:tc>
            </w:tr>
          </w:tbl>
          <w:p>
            <w:pPr>
              <w:pStyle w:val="null5"/>
              <w:jc w:val="both"/>
            </w:pPr>
            <w:r>
              <w:rPr>
                <w:rFonts w:ascii="仿宋_GB2312" w:hAnsi="仿宋_GB2312" w:cs="仿宋_GB2312" w:eastAsia="仿宋_GB2312"/>
                <w:sz w:val="20"/>
                <w:color w:val="000000"/>
              </w:rPr>
              <w:t>（5）中标人派驻项目负责人全面负责餐饮经营服务，项目负责人在合同期内未经采购人同意不得更换；采购人有权要求更换不合格的项目负责人。</w:t>
            </w:r>
          </w:p>
          <w:p>
            <w:pPr>
              <w:pStyle w:val="null5"/>
              <w:ind w:firstLine="480"/>
              <w:jc w:val="left"/>
            </w:pPr>
            <w:r>
              <w:rPr>
                <w:rFonts w:ascii="仿宋_GB2312" w:hAnsi="仿宋_GB2312" w:cs="仿宋_GB2312" w:eastAsia="仿宋_GB2312"/>
                <w:sz w:val="20"/>
                <w:color w:val="000000"/>
              </w:rPr>
              <w:t>（6）本项目配备厨师、营养师及负责人未经采购人同意，不得擅自更换。</w:t>
            </w:r>
          </w:p>
          <w:p>
            <w:pPr>
              <w:pStyle w:val="null5"/>
              <w:ind w:firstLine="480"/>
              <w:jc w:val="left"/>
            </w:pPr>
            <w:r>
              <w:rPr>
                <w:rFonts w:ascii="仿宋_GB2312" w:hAnsi="仿宋_GB2312" w:cs="仿宋_GB2312" w:eastAsia="仿宋_GB2312"/>
                <w:sz w:val="20"/>
                <w:color w:val="000000"/>
              </w:rPr>
              <w:t>（7）食堂负责人外出2天以上需请假并报采购人管理部门备案。</w:t>
            </w:r>
          </w:p>
          <w:p>
            <w:pPr>
              <w:pStyle w:val="null5"/>
              <w:ind w:firstLine="480"/>
              <w:jc w:val="left"/>
            </w:pPr>
            <w:r>
              <w:rPr>
                <w:rFonts w:ascii="仿宋_GB2312" w:hAnsi="仿宋_GB2312" w:cs="仿宋_GB2312" w:eastAsia="仿宋_GB2312"/>
                <w:sz w:val="20"/>
                <w:color w:val="000000"/>
              </w:rPr>
              <w:t>（8）中标人自行承担劳务纠纷的处理等相关经济和法律责任。</w:t>
            </w:r>
          </w:p>
          <w:p>
            <w:pPr>
              <w:pStyle w:val="null5"/>
              <w:jc w:val="left"/>
            </w:pPr>
            <w:r>
              <w:rPr>
                <w:rFonts w:ascii="仿宋_GB2312" w:hAnsi="仿宋_GB2312" w:cs="仿宋_GB2312" w:eastAsia="仿宋_GB2312"/>
                <w:sz w:val="20"/>
                <w:color w:val="000000"/>
              </w:rPr>
              <w:t>（9）中标人要对员工的思想道德、业务素质、安全健康等进行全面管理，所有人员应规范服务操作程序，做到文明用语、礼貌服务，特别是要尊重</w:t>
            </w:r>
            <w:r>
              <w:rPr>
                <w:rFonts w:ascii="仿宋_GB2312" w:hAnsi="仿宋_GB2312" w:cs="仿宋_GB2312" w:eastAsia="仿宋_GB2312"/>
                <w:sz w:val="20"/>
                <w:color w:val="000000"/>
              </w:rPr>
              <w:t>少数</w:t>
            </w:r>
            <w:r>
              <w:rPr>
                <w:rFonts w:ascii="仿宋_GB2312" w:hAnsi="仿宋_GB2312" w:cs="仿宋_GB2312" w:eastAsia="仿宋_GB2312"/>
                <w:sz w:val="20"/>
                <w:color w:val="000000"/>
              </w:rPr>
              <w:t>民族的饮食习惯。</w:t>
            </w:r>
          </w:p>
        </w:tc>
      </w:tr>
      <w:tr>
        <w:tc>
          <w:tcPr>
            <w:tcW w:type="dxa" w:w="2076"/>
          </w:tcPr>
          <w:p>
            <w:pPr>
              <w:pStyle w:val="null5"/>
              <w:jc w:val="left"/>
            </w:pPr>
            <w:r>
              <w:rPr>
                <w:rFonts w:ascii="仿宋_GB2312" w:hAnsi="仿宋_GB2312" w:cs="仿宋_GB2312" w:eastAsia="仿宋_GB2312"/>
              </w:rPr>
              <w:t>14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四、项目要求6.用工要求</w:t>
            </w:r>
          </w:p>
        </w:tc>
        <w:tc>
          <w:tcPr>
            <w:tcW w:type="dxa" w:w="2076"/>
          </w:tcPr>
          <w:p>
            <w:pPr>
              <w:pStyle w:val="null5"/>
              <w:jc w:val="left"/>
            </w:pPr>
            <w:r>
              <w:rPr>
                <w:rFonts w:ascii="仿宋_GB2312" w:hAnsi="仿宋_GB2312" w:cs="仿宋_GB2312" w:eastAsia="仿宋_GB2312"/>
              </w:rPr>
              <w:t>中标人须按照国家有关规定按时为聘任人员发放工资待遇（不低于项目所在地最低工资标准）、缴纳社保等，不得拖欠（须提供加盖公章的承诺函。）</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四、项目要求7.运营管理要求</w:t>
            </w:r>
          </w:p>
        </w:tc>
        <w:tc>
          <w:tcPr>
            <w:tcW w:type="dxa" w:w="2076"/>
          </w:tcPr>
          <w:p>
            <w:pPr>
              <w:pStyle w:val="null5"/>
              <w:jc w:val="left"/>
            </w:pPr>
            <w:r>
              <w:rPr>
                <w:rFonts w:ascii="仿宋_GB2312" w:hAnsi="仿宋_GB2312" w:cs="仿宋_GB2312" w:eastAsia="仿宋_GB2312"/>
              </w:rPr>
              <w:t>①中标人严格按照经营范围规范经营，严格按照双方的约定提供服务。 ②中标人严格遵守《中华人民共和国食品安全法》等法律法规及上级有关文件规定。 ③中标人须严格遵守采购人相关管理规定。 ④中标人须建立健全内部管理体系，完善内部运行机制，加强内部管理，规范各项工作。在节假日和采购人重大活动期间，要积极配合开展必要的让利或公益活动。 ⑤中标人须积极接受上级主管部门和采购人有关部门的监督检查，严格落实整改要求，对整改建议拒不执行的，采购人有权扣除履约保证金或终止服务合同。 ⑥中标人须积极配合各项测评活动，并根据测评意见及时改进工作中的不足之处。测评满意度连续二次达不到85%或对测评整改建议拒不执行的，采购人有权扣除履约保证金或终止服务合同。测评满意度达不到80%的，直接终止服务合同。 ⑦中标人不得进行同行恶性竞争，不得与食材供货商存在不当交易，一经查实，采购人有权终止服务合同，并追究相应法律责任。 ⑧中标人负责食堂食品安全、卫生、防火、防盗等，对相应工作负有直接的组织和管理义务。必须自行做好安全、防盗、防火和食品卫生等工作，如发生失窃、火灾、食品安全等事故，造成的一切损失由中标人负全部责任，并负责消除由此给采购人带来的不利影响。 ⑨除岗前培训、日常培训外，中标人每学期应集中组织1～2次从业人员岗位业务培训，全年不低于40学时。 ⑩中标人应采取足够有效的措施合理控制成本，杜绝加工出售过程的浪费现象。每月提供当月经营核算报表，配合采购人管理方开展当月经营核算情况的检查。 ⑪中标人协助采购人加强原材料的出入库管理，建立账册，严格核算食堂毛利，月底库存盘点须由采购人参与并提交物资盘点表。</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四、项目要求8.消防安全要求</w:t>
            </w:r>
          </w:p>
        </w:tc>
        <w:tc>
          <w:tcPr>
            <w:tcW w:type="dxa" w:w="2076"/>
          </w:tcPr>
          <w:p>
            <w:pPr>
              <w:pStyle w:val="null5"/>
              <w:jc w:val="left"/>
            </w:pPr>
            <w:r>
              <w:rPr>
                <w:rFonts w:ascii="仿宋_GB2312" w:hAnsi="仿宋_GB2312" w:cs="仿宋_GB2312" w:eastAsia="仿宋_GB2312"/>
              </w:rPr>
              <w:t>①中标人负责生产场所的消防安全工作，服从上级消防部门及采购人相关职能部门的统一管理，确保消防安全无事故。配合各级消防安全检查，执行各级管理部门的消防安全整改意见，拒不执行的，采购人有权给予处罚直至解除合同。供应商积极配合采购人取得相关许可证件。 ②中标人工作人员熟练掌握消防安全知识和技能，并定期开展培训。 ③中标人应加强消防安全管理，不使用液化气罐等危险设施和烃基燃料、醇基燃料，不乱接、乱改燃气管路和用电线路，不违章违规操作。如确需改造须报采购人申请获批后由专业人员实施作业。 ④中标人须用具有相关资质人员定期对食堂油烟管路、排烟设备进行专业的清洗。</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四、项目要求9.售后服务要求</w:t>
            </w:r>
          </w:p>
        </w:tc>
        <w:tc>
          <w:tcPr>
            <w:tcW w:type="dxa" w:w="2076"/>
          </w:tcPr>
          <w:p>
            <w:pPr>
              <w:pStyle w:val="null5"/>
              <w:jc w:val="left"/>
            </w:pPr>
            <w:r>
              <w:rPr>
                <w:rFonts w:ascii="仿宋_GB2312" w:hAnsi="仿宋_GB2312" w:cs="仿宋_GB2312" w:eastAsia="仿宋_GB2312"/>
              </w:rPr>
              <w:t>中标人应配合采购人监管，在接到采购人提出的任何问题或建议后，尽快给予明确答复，并在规定时间内完成问题的整改。</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四、项目要求10.其他要求</w:t>
            </w:r>
          </w:p>
        </w:tc>
        <w:tc>
          <w:tcPr>
            <w:tcW w:type="dxa" w:w="2076"/>
          </w:tcPr>
          <w:p>
            <w:pPr>
              <w:pStyle w:val="null5"/>
              <w:jc w:val="left"/>
            </w:pPr>
            <w:r>
              <w:rPr>
                <w:rFonts w:ascii="仿宋_GB2312" w:hAnsi="仿宋_GB2312" w:cs="仿宋_GB2312" w:eastAsia="仿宋_GB2312"/>
              </w:rPr>
              <w:t>（1）中标人应遵守采购人的规章制度，配合采购人的管理和监督。 （2）中标人负责做好从业人员的食宿安排和日常安全教育，严格遵守采购人相关管理规定。 （3）中标人要配合采购人物业管理单位共同遵守垃圾处理等相关规定。 （4）中标人须保证建筑物及装饰完好，不得改动建筑物承重结构，如因中标人使用不当造成损坏的，由中标人负责修复。 （5）中标人不允许私自转让或转包，否则采购人有权解除合同。 （6）中标人应积极响应采购人的号召，参与采购人的各类活动，共同营造和谐、积极的校园文化氛围。 （7）中标⼈须针对本项目购买各类保险，如公共场所责任险、⻝品安全责任险、燃⽓安全险、“三防”险等。其中公共场所责任险、⻝品安全责任险均不少于2000万元（⼤写：⼈⺠币贰仟万元整）。</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标的名称：凤凰厅（含天烛厅）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一、项目概况（一）项目综述</w:t>
            </w:r>
          </w:p>
        </w:tc>
        <w:tc>
          <w:tcPr>
            <w:tcW w:type="dxa" w:w="2076"/>
          </w:tcPr>
          <w:p>
            <w:pPr>
              <w:pStyle w:val="null5"/>
              <w:jc w:val="left"/>
            </w:pPr>
            <w:r>
              <w:rPr>
                <w:rFonts w:ascii="仿宋_GB2312" w:hAnsi="仿宋_GB2312" w:cs="仿宋_GB2312" w:eastAsia="仿宋_GB2312"/>
              </w:rPr>
              <w:t>本项目旨在为山东第一医科大学泰安校区龙山厅、凤凰厅和天烛厅提供自主经营服务，通过引进优质餐饮企业，提供专业化、高质量的餐饮劳务服务，实现食堂的自主经营改革。项目共需引进两家餐饮劳务服务企业，分别负责采购包1龙山厅、采购包2凤凰厅（含天烛厅）的餐饮劳务服务。</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一、项目概况（二）项目分包情况</w:t>
            </w:r>
          </w:p>
        </w:tc>
        <w:tc>
          <w:tcPr>
            <w:tcW w:type="dxa" w:w="2076"/>
          </w:tcPr>
          <w:p>
            <w:pPr>
              <w:pStyle w:val="null5"/>
              <w:jc w:val="left"/>
            </w:pPr>
            <w:r>
              <w:rPr>
                <w:rFonts w:ascii="仿宋_GB2312" w:hAnsi="仿宋_GB2312" w:cs="仿宋_GB2312" w:eastAsia="仿宋_GB2312"/>
              </w:rPr>
              <w:t>采购包2：泰安校区凤凰厅（一楼）和天烛厅（二楼），建筑面积各约为3140㎡；餐厅已具备设施：安防监控、空调、一卡通售饭系统、基本厨具、炉具等。天烛厅具备货运电梯；水、电、暖、燃气等具备使用条件。满足师生基本餐饮需求，凤凰厅基本大伙40%以上兼顾特色风味；分别设置独立的特色就餐区域和休读区域，如咖啡吧、读书休闲吧等为学生提供餐饮服务。在招标方规划的场所建立民族窗口（符合国家民族政策，数量根据学生就餐需求确定，保证连续配齐2人以上少数民族工作人员，提供身份证扫描件和3年以上社保证明）。 天烛厅以特色餐品为主，保留教工特色水饺，满足教工、后续学生增加及社会办班人员就餐需求。</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一、项目概况（二）项目分包情况</w:t>
            </w:r>
          </w:p>
        </w:tc>
        <w:tc>
          <w:tcPr>
            <w:tcW w:type="dxa" w:w="2076"/>
          </w:tcPr>
          <w:p>
            <w:pPr>
              <w:pStyle w:val="null5"/>
              <w:jc w:val="left"/>
            </w:pPr>
            <w:r>
              <w:rPr>
                <w:rFonts w:ascii="仿宋_GB2312" w:hAnsi="仿宋_GB2312" w:cs="仿宋_GB2312" w:eastAsia="仿宋_GB2312"/>
              </w:rPr>
              <w:t>本项目兼投不兼中，投标人可投一包或者多包，但兼投不兼中。若同一投标人在多包的评审排名均为第一时，确定中标人的规则如下：按采购包1、采购包2的顺序依次确定中标标包。</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二、投标限价</w:t>
            </w:r>
          </w:p>
        </w:tc>
        <w:tc>
          <w:tcPr>
            <w:tcW w:type="dxa" w:w="2076"/>
          </w:tcPr>
          <w:p>
            <w:pPr>
              <w:pStyle w:val="null5"/>
              <w:jc w:val="left"/>
            </w:pPr>
            <w:r>
              <w:rPr>
                <w:rFonts w:ascii="仿宋_GB2312" w:hAnsi="仿宋_GB2312" w:cs="仿宋_GB2312" w:eastAsia="仿宋_GB2312"/>
              </w:rPr>
              <w:t>设置餐饮企业服务费（餐饮劳务服务费）不高于37%，作为招标项目。 其他费用说明： （1）学生食堂毛利率须控制在48%以内。毛利率=（当月营业额-当月原材料(主辅料和调料）的实际消耗）/当月营业收入*100%；原材料(主辅料和调料）的实际消耗=期初库存+当期入库-期末库存； （2）动力成本依据各类动力资源的实际消耗总额进行精确计入，且其占比控制在总成本的5%，由餐饮服务单位提取。对于动力成本低于5%的节省部分，将归属于餐饮服务单位，以示对其节能降耗行为的激励；而若动力成本超出5%，其超出部分将从餐饮企业服务费中予以扣除。 （3）维修维护、办公费、折旧费及日消耗费用等。占总成本的比例控制在4%，由餐饮服务单位提取。以保障食堂设施设备的持续稳定运行与适时更新换代以及餐饮具购置等日消耗费用。对于单项2万元以下的小型维修、2万元以上的维修项目因餐饮服务企业责任的非正常损坏，其维修费用将由餐饮服务企业自行承担；而对于单件（单批次）10万元以上的大型餐饮设备购置和更新、单项2万元以上的正常维修项目，则可依程序向学校提出申请，由学校预算予以合理安排。设备设施维护保养和维修不符合相关规定和学校要求的，经督促仍不整改执行的，学校为保证食堂安全稳定运行，可以采取强制维修措施，费用从该公司维修费用中扣除，不足部分从餐饮企业服务费中扣除。</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三、履约担保</w:t>
            </w:r>
          </w:p>
        </w:tc>
        <w:tc>
          <w:tcPr>
            <w:tcW w:type="dxa" w:w="2076"/>
          </w:tcPr>
          <w:p>
            <w:pPr>
              <w:pStyle w:val="null5"/>
              <w:jc w:val="left"/>
            </w:pPr>
            <w:r>
              <w:rPr>
                <w:rFonts w:ascii="仿宋_GB2312" w:hAnsi="仿宋_GB2312" w:cs="仿宋_GB2312" w:eastAsia="仿宋_GB2312"/>
              </w:rPr>
              <w:t>1.因政策原因及不可抗力因素，采购人有权终止合同，且不承担任何责任。</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三、履约担保</w:t>
            </w:r>
          </w:p>
        </w:tc>
        <w:tc>
          <w:tcPr>
            <w:tcW w:type="dxa" w:w="2076"/>
          </w:tcPr>
          <w:p>
            <w:pPr>
              <w:pStyle w:val="null5"/>
              <w:jc w:val="left"/>
            </w:pPr>
            <w:r>
              <w:rPr>
                <w:rFonts w:ascii="仿宋_GB2312" w:hAnsi="仿宋_GB2312" w:cs="仿宋_GB2312" w:eastAsia="仿宋_GB2312"/>
              </w:rPr>
              <w:t>2.自中标（成交）公告发布之日起5日内，采购包2中标人向采购人一次性交付合同金额的5%（如中标人是中小企业收取比例为2%）的履约保证金；逾期未交至采购人指定账户的，视为自动放弃中标资格，并承担因此对采购人造成的损失。</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三、履约担保</w:t>
            </w:r>
          </w:p>
        </w:tc>
        <w:tc>
          <w:tcPr>
            <w:tcW w:type="dxa" w:w="2076"/>
          </w:tcPr>
          <w:p>
            <w:pPr>
              <w:pStyle w:val="null5"/>
              <w:jc w:val="left"/>
            </w:pPr>
            <w:r>
              <w:rPr>
                <w:rFonts w:ascii="仿宋_GB2312" w:hAnsi="仿宋_GB2312" w:cs="仿宋_GB2312" w:eastAsia="仿宋_GB2312"/>
              </w:rPr>
              <w:t>3.若中标人在合同期内无违约违规行为，期满后履约保证金全额无息返还。若中标人在合同期内因未履行本合同约定的各种事项被采购人扣减履约保证金,中标人应在采购人扣减履约保证金的1个月之内补齐差额，否则，采购人有权解除合同，中标人承担相应违约责任。</w:t>
            </w:r>
          </w:p>
        </w:tc>
      </w:tr>
      <w:tr>
        <w:tc>
          <w:tcPr>
            <w:tcW w:type="dxa" w:w="2076"/>
          </w:tcPr>
          <w:p>
            <w:pPr>
              <w:pStyle w:val="null5"/>
              <w:jc w:val="left"/>
            </w:pPr>
            <w:r>
              <w:rPr>
                <w:rFonts w:ascii="仿宋_GB2312" w:hAnsi="仿宋_GB2312" w:cs="仿宋_GB2312" w:eastAsia="仿宋_GB2312"/>
              </w:rPr>
              <w:t>8</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四、项目要求1.服务承诺</w:t>
            </w:r>
          </w:p>
        </w:tc>
        <w:tc>
          <w:tcPr>
            <w:tcW w:type="dxa" w:w="2076"/>
          </w:tcPr>
          <w:p>
            <w:pPr>
              <w:pStyle w:val="null5"/>
              <w:jc w:val="left"/>
            </w:pPr>
            <w:r>
              <w:rPr>
                <w:rFonts w:ascii="仿宋_GB2312" w:hAnsi="仿宋_GB2312" w:cs="仿宋_GB2312" w:eastAsia="仿宋_GB2312"/>
              </w:rPr>
              <w:t>（1）近三年经营过程中无群体性食物中毒、卫生、防疫等食品安全事故；无食品安全或学校罢餐及其他较大责任事故记录（提供加盖公章的承诺函，格式自拟） （2）提供完全接受采购人管理、承担经营风险、优质文明服务的承诺（加盖公章，格式自拟）。 （3）提供配合师生满意度调研、师生意见建议整改措施的承诺（加盖公章，格式自拟）。</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四、项目要求2.服务要求</w:t>
            </w:r>
          </w:p>
        </w:tc>
        <w:tc>
          <w:tcPr>
            <w:tcW w:type="dxa" w:w="2076"/>
          </w:tcPr>
          <w:p>
            <w:pPr>
              <w:pStyle w:val="null5"/>
              <w:jc w:val="left"/>
            </w:pPr>
            <w:r>
              <w:rPr>
                <w:rFonts w:ascii="仿宋_GB2312" w:hAnsi="仿宋_GB2312" w:cs="仿宋_GB2312" w:eastAsia="仿宋_GB2312"/>
              </w:rPr>
              <w:t>（1）服务定位及需求 ①根据采购人餐饮布局和大众化学生需求，突出食堂办伙公益性，保证食堂的早餐、午餐、晚餐正常开伙，满足就餐师生的用餐需求，寒暑假及节假日根据采购人的安排进行供餐。 ②供应商提供专业化服务，充分发挥餐饮供应商专业团队优势、技术优势、安全管理经验，满足本项目的饮食保障和需求，按照采购人要求完成采购人各项考核指标，服从采购人管理。 （2）协助采购人进行成本控制 ①本项目食堂经营服务总成本包括原材料(主辅料和调料）成本、动力(水电气等)成本、人员经费、办公费、维护维修费、餐用具购置费等，不包括食堂房屋建筑物及采购人投入的大型设施设备折旧。 ②所有财务活动纳入采购人财务部门统一管理，收支全部纳入采购人财务账户核算。 ③采购人指定食堂消费支付和结算方式，严禁使用采购人指定以外的任何收费方式。 ④中标人应采取足够有效的措施协助采购人合理控制食堂成本，各项成本控制比例符合规定，主动接受采购人的监督、检查及业务指导。 ⑤学生食堂毛利率须控制在48%以内。毛利率计算方法：毛利率=（当月营业收入-当月原材料(主辅料和调料）的实际消耗）/当月营业收入*100%；原材料(主辅料和调料）的实际消耗=期初库存+当期入库-期末库存。 （3）费用结算 毛利内各类费用按照以下顺序依次支付： ①采购人招聘管理辅助人员经费（当月营业额的2%）。 ②食堂当月动力成本费用（当月营业额的5%）。 ③供应商食堂维修维护、办公费、折旧费及日消耗费用等（当月营业额的4%）。包含食堂运营所需设备设施的维护、维修、保养、更新、餐用具购置费、日常消耗支出、低耗物资费用、食堂购置设备的折旧及投入必要的装修装饰美化等费用。设备设施维护保养和维修不符合相关规定和采购人的要求的，经督促仍不整改执行的，采购人为保证食堂安全稳定运行，可以采取强制维修措施，费用从该公司维修费用中扣除，不足部分从餐饮企业服务费中扣除。 ④当月考核奖惩费用。 ⑤中标人餐饮企业服务费，采购人每月按照中标价支付给中标人。食堂一线从业人员全部由中标人聘用，且在食堂内从事各岗位工作。该项经费包括人员工资奖金费用、社会保险费用、意外伤害保险、各类福利等，具体发放细则由中标人自行决定。</w:t>
            </w:r>
          </w:p>
        </w:tc>
      </w:tr>
      <w:tr>
        <w:tc>
          <w:tcPr>
            <w:tcW w:type="dxa" w:w="2076"/>
          </w:tcPr>
          <w:p>
            <w:pPr>
              <w:pStyle w:val="null5"/>
              <w:jc w:val="left"/>
            </w:pPr>
            <w:r>
              <w:rPr>
                <w:rFonts w:ascii="仿宋_GB2312" w:hAnsi="仿宋_GB2312" w:cs="仿宋_GB2312" w:eastAsia="仿宋_GB2312"/>
              </w:rPr>
              <w:t>10</w:t>
            </w:r>
          </w:p>
        </w:tc>
        <w:tc>
          <w:tcPr>
            <w:tcW w:type="dxa" w:w="2076"/>
          </w:tcPr>
          <w:p/>
        </w:tc>
        <w:tc>
          <w:tcPr>
            <w:tcW w:type="dxa" w:w="2076"/>
          </w:tcPr>
          <w:p>
            <w:pPr>
              <w:pStyle w:val="null5"/>
              <w:jc w:val="left"/>
            </w:pPr>
            <w:r>
              <w:rPr>
                <w:rFonts w:ascii="仿宋_GB2312" w:hAnsi="仿宋_GB2312" w:cs="仿宋_GB2312" w:eastAsia="仿宋_GB2312"/>
              </w:rPr>
              <w:t>四、项目要求3.伙食结构要求</w:t>
            </w:r>
          </w:p>
        </w:tc>
        <w:tc>
          <w:tcPr>
            <w:tcW w:type="dxa" w:w="2076"/>
          </w:tcPr>
          <w:p>
            <w:pPr>
              <w:pStyle w:val="null5"/>
              <w:jc w:val="left"/>
            </w:pPr>
            <w:r>
              <w:rPr>
                <w:rFonts w:ascii="仿宋_GB2312" w:hAnsi="仿宋_GB2312" w:cs="仿宋_GB2312" w:eastAsia="仿宋_GB2312"/>
              </w:rPr>
              <w:t>（1）基本大伙说明。食堂基本大伙高、中、低价位的菜品搭配合理，低价菜（2元以下）所占比例不得低于20%。用餐高峰期间，菜品需保持在40个品种以上（不含小咸菜），各式面食品种须保持在20个以上；稀饭汤类品种不少于8个。早餐品种面食类不少于20个品种；稀饭汤类不少于8个品种。早餐须提供免费咸菜，午、晚餐须提供免费汤品，免费汤品要专人操作，做到人在桶在，人走桶收。 （2）特色窗口说明。设有特色窗口，中标人需按要求提供特色窗口从业人员。 （3）饭菜结构说明。每餐配置的高、中、低价菜肴品种比例约为4:4:2，每份菜肴净重300克左右，可售半份菜或拼菜。</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四、项目要求4.食品原材料要求</w:t>
            </w:r>
          </w:p>
        </w:tc>
        <w:tc>
          <w:tcPr>
            <w:tcW w:type="dxa" w:w="2076"/>
          </w:tcPr>
          <w:p>
            <w:pPr>
              <w:pStyle w:val="null5"/>
              <w:jc w:val="left"/>
            </w:pPr>
            <w:r>
              <w:rPr>
                <w:rFonts w:ascii="仿宋_GB2312" w:hAnsi="仿宋_GB2312" w:cs="仿宋_GB2312" w:eastAsia="仿宋_GB2312"/>
              </w:rPr>
              <w:t>进入食堂的食品原料由采购人集中统一采购，双方指定专人做好验收、索证索票及出入库管理工作，采购人对食堂的食品原材料管理实行全程监管，中标人私自采购或使用非采购人许可的食品原材料，采购人将根据相关制度予以处罚。</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四、项目要求5.设备设施管理要求</w:t>
            </w:r>
          </w:p>
        </w:tc>
        <w:tc>
          <w:tcPr>
            <w:tcW w:type="dxa" w:w="2076"/>
          </w:tcPr>
          <w:p>
            <w:pPr>
              <w:pStyle w:val="null5"/>
              <w:jc w:val="left"/>
            </w:pPr>
            <w:r>
              <w:rPr>
                <w:rFonts w:ascii="仿宋_GB2312" w:hAnsi="仿宋_GB2312" w:cs="仿宋_GB2312" w:eastAsia="仿宋_GB2312"/>
              </w:rPr>
              <w:t>（1）采购人现有食堂建筑、燃气管路、电路、上下水、暖气、一卡通收费系统、监控系统均可满足食堂开伙的使用，且为正在经营的食堂。中标人在采购人提供的设施设备基础上，根据自身运营的需要可进行合理调整，方案需提前书面报采购人，审核批准后方可实施，相关费用由中标人自行承担。 （2）采购人提供的设备设施产权归属于采购人，中标人接收资产后负责建账、日常使用、维修和管理，使用过程如有损毁由供应商负责维修或赔偿，并承担相关费用；每学期末，由采购人和中标人共同对照清单进行盘点，由中标人向采购人提交每学期资产清单报告；服务期满，中标人按照清单交回的设备设施，须保证可正常使用，未能正常使用或缺失的，由中标人负责赔偿。</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四、项目要求6.用工要求</w:t>
            </w:r>
          </w:p>
        </w:tc>
        <w:tc>
          <w:tcPr>
            <w:tcW w:type="dxa" w:w="2076"/>
          </w:tcPr>
          <w:p>
            <w:pPr>
              <w:pStyle w:val="null5"/>
              <w:ind w:firstLine="480"/>
              <w:jc w:val="left"/>
            </w:pPr>
            <w:r>
              <w:rPr>
                <w:rFonts w:ascii="仿宋_GB2312" w:hAnsi="仿宋_GB2312" w:cs="仿宋_GB2312" w:eastAsia="仿宋_GB2312"/>
                <w:sz w:val="20"/>
                <w:color w:val="000000"/>
              </w:rPr>
              <w:t>（1）中标人保证所有从业人员遵纪守法，严格遵守采购人相关规章制度，并完成布置的各项任务。</w:t>
            </w:r>
          </w:p>
          <w:p>
            <w:pPr>
              <w:pStyle w:val="null5"/>
              <w:ind w:firstLine="480"/>
              <w:jc w:val="left"/>
            </w:pPr>
            <w:r>
              <w:rPr>
                <w:rFonts w:ascii="仿宋_GB2312" w:hAnsi="仿宋_GB2312" w:cs="仿宋_GB2312" w:eastAsia="仿宋_GB2312"/>
                <w:sz w:val="20"/>
                <w:color w:val="000000"/>
              </w:rPr>
              <w:t>（2）食堂工作人员由中标人负责招聘和管理，采购人有权对食堂用工情况进行监督和检查。</w:t>
            </w:r>
          </w:p>
          <w:p>
            <w:pPr>
              <w:pStyle w:val="null5"/>
              <w:ind w:firstLine="480"/>
              <w:jc w:val="left"/>
            </w:pPr>
            <w:r>
              <w:rPr>
                <w:rFonts w:ascii="仿宋_GB2312" w:hAnsi="仿宋_GB2312" w:cs="仿宋_GB2312" w:eastAsia="仿宋_GB2312"/>
                <w:sz w:val="20"/>
                <w:color w:val="000000"/>
              </w:rPr>
              <w:t>（3）中标人所有从业人员必须持有有效的身份证、健康证等，且无违法犯罪记录，严格遵守个人卫生制度，具有良好的个人卫生习惯。杜绝无证人员上岗。</w:t>
            </w:r>
          </w:p>
          <w:p>
            <w:pPr>
              <w:pStyle w:val="null5"/>
              <w:ind w:firstLine="480"/>
              <w:jc w:val="left"/>
            </w:pPr>
            <w:r>
              <w:rPr>
                <w:rFonts w:ascii="仿宋_GB2312" w:hAnsi="仿宋_GB2312" w:cs="仿宋_GB2312" w:eastAsia="仿宋_GB2312"/>
                <w:sz w:val="20"/>
                <w:color w:val="000000"/>
              </w:rPr>
              <w:t>（4）中标人针对本项目：</w:t>
            </w:r>
            <w:r>
              <w:rPr>
                <w:rFonts w:ascii="仿宋_GB2312" w:hAnsi="仿宋_GB2312" w:cs="仿宋_GB2312" w:eastAsia="仿宋_GB2312"/>
                <w:sz w:val="20"/>
                <w:color w:val="000000"/>
              </w:rPr>
              <w:t>凤凰厅（含天烛厅）提供不少于100人，</w:t>
            </w:r>
            <w:r>
              <w:rPr>
                <w:rFonts w:ascii="仿宋_GB2312" w:hAnsi="仿宋_GB2312" w:cs="仿宋_GB2312" w:eastAsia="仿宋_GB2312"/>
                <w:sz w:val="20"/>
                <w:color w:val="000000"/>
              </w:rPr>
              <w:t>管理岗位</w:t>
            </w:r>
            <w:r>
              <w:rPr>
                <w:rFonts w:ascii="仿宋_GB2312" w:hAnsi="仿宋_GB2312" w:cs="仿宋_GB2312" w:eastAsia="仿宋_GB2312"/>
                <w:sz w:val="20"/>
                <w:color w:val="000000"/>
              </w:rPr>
              <w:t>用工需求及岗位职责详见下表，</w:t>
            </w:r>
            <w:r>
              <w:rPr>
                <w:rFonts w:ascii="仿宋_GB2312" w:hAnsi="仿宋_GB2312" w:cs="仿宋_GB2312" w:eastAsia="仿宋_GB2312"/>
                <w:sz w:val="20"/>
                <w:color w:val="000000"/>
              </w:rPr>
              <w:t>其他餐饮服务员按窗口自行配置，并提供相应服务，</w:t>
            </w:r>
            <w:r>
              <w:rPr>
                <w:rFonts w:ascii="仿宋_GB2312" w:hAnsi="仿宋_GB2312" w:cs="仿宋_GB2312" w:eastAsia="仿宋_GB2312"/>
                <w:sz w:val="20"/>
                <w:color w:val="000000"/>
              </w:rPr>
              <w:t>配备的厨师等从业人员须满足本项目运营需求。</w:t>
            </w:r>
          </w:p>
          <w:tbl>
            <w:tblPr>
              <w:tblInd w:type="dxa" w:w="90"/>
              <w:tblBorders>
                <w:top w:val="none" w:color="000000" w:sz="4"/>
                <w:left w:val="none" w:color="000000" w:sz="4"/>
                <w:bottom w:val="none" w:color="000000" w:sz="4"/>
                <w:right w:val="none" w:color="000000" w:sz="4"/>
                <w:insideH w:val="none"/>
                <w:insideV w:val="none"/>
              </w:tblBorders>
            </w:tblPr>
            <w:tblGrid>
              <w:gridCol w:w="399"/>
              <w:gridCol w:w="204"/>
              <w:gridCol w:w="1068"/>
              <w:gridCol w:w="190"/>
            </w:tblGrid>
            <w:tr>
              <w:tc>
                <w:tcPr>
                  <w:tcW w:type="dxa" w:w="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管理岗位名称</w:t>
                  </w:r>
                </w:p>
              </w:tc>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最低人员数量</w:t>
                  </w:r>
                </w:p>
              </w:tc>
              <w:tc>
                <w:tcPr>
                  <w:tcW w:type="dxa" w:w="10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岗位职责及人员要求</w:t>
                  </w:r>
                </w:p>
              </w:tc>
              <w:tc>
                <w:tcPr>
                  <w:tcW w:type="dxa" w:w="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备注</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项目负责人</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1</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年龄≤50周岁。</w:t>
                  </w:r>
                </w:p>
                <w:p>
                  <w:pPr>
                    <w:pStyle w:val="null5"/>
                    <w:ind w:firstLine="380"/>
                    <w:jc w:val="left"/>
                  </w:pPr>
                  <w:r>
                    <w:rPr>
                      <w:rFonts w:ascii="仿宋_GB2312" w:hAnsi="仿宋_GB2312" w:cs="仿宋_GB2312" w:eastAsia="仿宋_GB2312"/>
                      <w:sz w:val="20"/>
                      <w:color w:val="000000"/>
                    </w:rPr>
                    <w:t>负责整体管理、统筹、协调⼯作，负责⽂案、制度规范拟定，质量检查、投诉处理及其他协调⼯作；就餐时间⼤堂值班，处理突发事件等；</w:t>
                  </w:r>
                </w:p>
                <w:p>
                  <w:pPr>
                    <w:pStyle w:val="null5"/>
                    <w:ind w:firstLine="380"/>
                    <w:jc w:val="left"/>
                  </w:pPr>
                  <w:r>
                    <w:rPr>
                      <w:rFonts w:ascii="仿宋_GB2312" w:hAnsi="仿宋_GB2312" w:cs="仿宋_GB2312" w:eastAsia="仿宋_GB2312"/>
                      <w:sz w:val="20"/>
                      <w:color w:val="000000"/>
                    </w:rPr>
                    <w:t>具有3年及以上同类项⽬⼯作经验，提供相关证明材料。</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0"/>
                      <w:color w:val="000000"/>
                    </w:rPr>
                    <w:t>项目助理</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1</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年龄≤50周岁。</w:t>
                  </w:r>
                </w:p>
                <w:p>
                  <w:pPr>
                    <w:pStyle w:val="null5"/>
                    <w:ind w:firstLine="380"/>
                    <w:jc w:val="left"/>
                  </w:pPr>
                  <w:r>
                    <w:rPr>
                      <w:rFonts w:ascii="仿宋_GB2312" w:hAnsi="仿宋_GB2312" w:cs="仿宋_GB2312" w:eastAsia="仿宋_GB2312"/>
                      <w:sz w:val="20"/>
                      <w:color w:val="000000"/>
                    </w:rPr>
                    <w:t>协助项⽬负责人⼯作，配合采购人，协调管理及⽇常采购⼯作等。</w:t>
                  </w:r>
                </w:p>
                <w:p>
                  <w:pPr>
                    <w:pStyle w:val="null5"/>
                    <w:ind w:firstLine="380"/>
                    <w:jc w:val="left"/>
                  </w:pPr>
                  <w:r>
                    <w:rPr>
                      <w:rFonts w:ascii="仿宋_GB2312" w:hAnsi="仿宋_GB2312" w:cs="仿宋_GB2312" w:eastAsia="仿宋_GB2312"/>
                      <w:sz w:val="20"/>
                      <w:color w:val="000000"/>
                    </w:rPr>
                    <w:t>具有1年及以上同类项⽬⼯作经验，提供相关证明材料。</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0"/>
                      <w:color w:val="000000"/>
                    </w:rPr>
                    <w:t>成本核算员</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1</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进行成本核算等相关工作</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0"/>
                      <w:color w:val="000000"/>
                    </w:rPr>
                    <w:t>厨师⻓</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1</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年龄≤50周岁。</w:t>
                  </w:r>
                </w:p>
                <w:p>
                  <w:pPr>
                    <w:pStyle w:val="null5"/>
                    <w:ind w:firstLine="380"/>
                    <w:jc w:val="left"/>
                  </w:pPr>
                  <w:r>
                    <w:rPr>
                      <w:rFonts w:ascii="仿宋_GB2312" w:hAnsi="仿宋_GB2312" w:cs="仿宋_GB2312" w:eastAsia="仿宋_GB2312"/>
                      <w:sz w:val="20"/>
                      <w:color w:val="000000"/>
                    </w:rPr>
                    <w:t>全面管理后厨全班组（厨师、面点、洗消等），⽇常⼯作安排，菜品管理，质量监督把关，营养搭配等。</w:t>
                  </w:r>
                </w:p>
                <w:p>
                  <w:pPr>
                    <w:pStyle w:val="null5"/>
                    <w:ind w:firstLine="380"/>
                    <w:jc w:val="left"/>
                  </w:pPr>
                  <w:r>
                    <w:rPr>
                      <w:rFonts w:ascii="仿宋_GB2312" w:hAnsi="仿宋_GB2312" w:cs="仿宋_GB2312" w:eastAsia="仿宋_GB2312"/>
                      <w:sz w:val="20"/>
                      <w:color w:val="000000"/>
                    </w:rPr>
                    <w:t>具有3年及以上同类项⽬⼯作经验，提供相关证明材料。</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0"/>
                      <w:color w:val="000000"/>
                    </w:rPr>
                    <w:t>食品安全总监</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1</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年龄≤55周岁</w:t>
                  </w:r>
                </w:p>
                <w:p>
                  <w:pPr>
                    <w:pStyle w:val="null5"/>
                    <w:ind w:firstLine="380"/>
                    <w:jc w:val="left"/>
                  </w:pPr>
                  <w:r>
                    <w:rPr>
                      <w:rFonts w:ascii="仿宋_GB2312" w:hAnsi="仿宋_GB2312" w:cs="仿宋_GB2312" w:eastAsia="仿宋_GB2312"/>
                      <w:sz w:val="20"/>
                      <w:color w:val="000000"/>
                    </w:rPr>
                    <w:t>负责日常全流程食品安全风险排查、从业人员健康管理、留样管理监督、食品安全台账标准化管理等</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0"/>
                      <w:color w:val="000000"/>
                    </w:rPr>
                    <w:t>食品安全员</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1</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负责进行食品安全相关工作</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both"/>
                  </w:pPr>
                  <w:r>
                    <w:rPr>
                      <w:rFonts w:ascii="仿宋_GB2312" w:hAnsi="仿宋_GB2312" w:cs="仿宋_GB2312" w:eastAsia="仿宋_GB2312"/>
                      <w:sz w:val="20"/>
                      <w:color w:val="000000"/>
                    </w:rPr>
                    <w:t>营养师（可兼职）</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1</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both"/>
                  </w:pPr>
                  <w:r>
                    <w:rPr>
                      <w:rFonts w:ascii="仿宋_GB2312" w:hAnsi="仿宋_GB2312" w:cs="仿宋_GB2312" w:eastAsia="仿宋_GB2312"/>
                      <w:sz w:val="20"/>
                      <w:color w:val="000000"/>
                    </w:rPr>
                    <w:t>年龄≤55周岁</w:t>
                  </w:r>
                </w:p>
                <w:p>
                  <w:pPr>
                    <w:pStyle w:val="null5"/>
                    <w:ind w:firstLine="380"/>
                    <w:jc w:val="left"/>
                  </w:pPr>
                  <w:r>
                    <w:rPr>
                      <w:rFonts w:ascii="仿宋_GB2312" w:hAnsi="仿宋_GB2312" w:cs="仿宋_GB2312" w:eastAsia="仿宋_GB2312"/>
                      <w:sz w:val="20"/>
                      <w:color w:val="000000"/>
                    </w:rPr>
                    <w:t>协助出具食堂营养配餐方案，提供膳食咨询服务，开展营养健康科普宣传等活动，完善营养健康台账等</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both"/>
                  </w:pP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jc w:val="left"/>
                  </w:pPr>
                  <w:r>
                    <w:rPr>
                      <w:rFonts w:ascii="仿宋_GB2312" w:hAnsi="仿宋_GB2312" w:cs="仿宋_GB2312" w:eastAsia="仿宋_GB2312"/>
                      <w:sz w:val="20"/>
                      <w:color w:val="000000"/>
                    </w:rPr>
                    <w:t>保洁主管</w:t>
                  </w:r>
                </w:p>
              </w:tc>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r>
                    <w:rPr>
                      <w:rFonts w:ascii="仿宋_GB2312" w:hAnsi="仿宋_GB2312" w:cs="仿宋_GB2312" w:eastAsia="仿宋_GB2312"/>
                      <w:sz w:val="20"/>
                      <w:color w:val="000000"/>
                    </w:rPr>
                    <w:t>1</w:t>
                  </w:r>
                </w:p>
              </w:tc>
              <w:tc>
                <w:tcPr>
                  <w:tcW w:type="dxa" w:w="1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both"/>
                  </w:pPr>
                  <w:r>
                    <w:rPr>
                      <w:rFonts w:ascii="仿宋_GB2312" w:hAnsi="仿宋_GB2312" w:cs="仿宋_GB2312" w:eastAsia="仿宋_GB2312"/>
                      <w:sz w:val="20"/>
                      <w:color w:val="000000"/>
                    </w:rPr>
                    <w:t>年龄≤55周岁</w:t>
                  </w:r>
                </w:p>
                <w:p>
                  <w:pPr>
                    <w:pStyle w:val="null5"/>
                    <w:ind w:firstLine="380"/>
                    <w:jc w:val="left"/>
                  </w:pPr>
                  <w:r>
                    <w:rPr>
                      <w:rFonts w:ascii="仿宋_GB2312" w:hAnsi="仿宋_GB2312" w:cs="仿宋_GB2312" w:eastAsia="仿宋_GB2312"/>
                      <w:sz w:val="20"/>
                      <w:color w:val="000000"/>
                    </w:rPr>
                    <w:t>统筹全体保洁人员工作，制定清洁消毒计划、有计划地巡查全区域卫生，配合开展卫生隐患整改等</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5"/>
                    <w:ind w:firstLine="380"/>
                    <w:jc w:val="left"/>
                  </w:pPr>
                </w:p>
              </w:tc>
            </w:tr>
          </w:tbl>
          <w:p>
            <w:pPr>
              <w:pStyle w:val="null5"/>
              <w:jc w:val="both"/>
            </w:pPr>
            <w:r>
              <w:rPr>
                <w:rFonts w:ascii="仿宋_GB2312" w:hAnsi="仿宋_GB2312" w:cs="仿宋_GB2312" w:eastAsia="仿宋_GB2312"/>
                <w:sz w:val="20"/>
                <w:color w:val="000000"/>
              </w:rPr>
              <w:t>（5）中标人派驻项目负责人全面负责餐饮经营服务，项目负责人在合同期内未经采购人同意不得更换；采购人有权要求更换不合格的项目负责人。</w:t>
            </w:r>
          </w:p>
          <w:p>
            <w:pPr>
              <w:pStyle w:val="null5"/>
              <w:ind w:firstLine="480"/>
              <w:jc w:val="left"/>
            </w:pPr>
            <w:r>
              <w:rPr>
                <w:rFonts w:ascii="仿宋_GB2312" w:hAnsi="仿宋_GB2312" w:cs="仿宋_GB2312" w:eastAsia="仿宋_GB2312"/>
                <w:sz w:val="20"/>
                <w:color w:val="000000"/>
              </w:rPr>
              <w:t>（6）本项目配备厨师、营养师及负责人未经采购人同意，不得擅自更换。</w:t>
            </w:r>
          </w:p>
          <w:p>
            <w:pPr>
              <w:pStyle w:val="null5"/>
              <w:ind w:firstLine="480"/>
              <w:jc w:val="left"/>
            </w:pPr>
            <w:r>
              <w:rPr>
                <w:rFonts w:ascii="仿宋_GB2312" w:hAnsi="仿宋_GB2312" w:cs="仿宋_GB2312" w:eastAsia="仿宋_GB2312"/>
                <w:sz w:val="20"/>
                <w:color w:val="000000"/>
              </w:rPr>
              <w:t>（7）食堂负责人外出2天以上需请假并报采购人管理部门备案。</w:t>
            </w:r>
          </w:p>
          <w:p>
            <w:pPr>
              <w:pStyle w:val="null5"/>
              <w:ind w:firstLine="480"/>
              <w:jc w:val="left"/>
            </w:pPr>
            <w:r>
              <w:rPr>
                <w:rFonts w:ascii="仿宋_GB2312" w:hAnsi="仿宋_GB2312" w:cs="仿宋_GB2312" w:eastAsia="仿宋_GB2312"/>
                <w:sz w:val="20"/>
                <w:color w:val="000000"/>
              </w:rPr>
              <w:t>（8）中标人自行承担劳务纠纷的处理等相关经济和法律责任。</w:t>
            </w:r>
          </w:p>
          <w:p>
            <w:pPr>
              <w:pStyle w:val="null5"/>
              <w:jc w:val="left"/>
            </w:pPr>
            <w:r>
              <w:rPr>
                <w:rFonts w:ascii="仿宋_GB2312" w:hAnsi="仿宋_GB2312" w:cs="仿宋_GB2312" w:eastAsia="仿宋_GB2312"/>
                <w:sz w:val="20"/>
                <w:color w:val="000000"/>
              </w:rPr>
              <w:t>（9）中标人要对员工的思想道德、业务素质、安全健康等进行全面管理，所有人员应规范服务操作程序，做到文明用语、礼貌服务，特别是要尊重少数民族的饮食习惯。</w:t>
            </w:r>
          </w:p>
        </w:tc>
      </w:tr>
      <w:tr>
        <w:tc>
          <w:tcPr>
            <w:tcW w:type="dxa" w:w="2076"/>
          </w:tcPr>
          <w:p>
            <w:pPr>
              <w:pStyle w:val="null5"/>
              <w:jc w:val="left"/>
            </w:pPr>
            <w:r>
              <w:rPr>
                <w:rFonts w:ascii="仿宋_GB2312" w:hAnsi="仿宋_GB2312" w:cs="仿宋_GB2312" w:eastAsia="仿宋_GB2312"/>
              </w:rPr>
              <w:t>14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四、项目要求6.用工要求</w:t>
            </w:r>
          </w:p>
        </w:tc>
        <w:tc>
          <w:tcPr>
            <w:tcW w:type="dxa" w:w="2076"/>
          </w:tcPr>
          <w:p>
            <w:pPr>
              <w:pStyle w:val="null5"/>
              <w:jc w:val="left"/>
            </w:pPr>
            <w:r>
              <w:rPr>
                <w:rFonts w:ascii="仿宋_GB2312" w:hAnsi="仿宋_GB2312" w:cs="仿宋_GB2312" w:eastAsia="仿宋_GB2312"/>
              </w:rPr>
              <w:t>中标人须按照国家有关规定按时为聘任人员发放工资待遇（不低于项目所在地最低工资标准）、缴纳社保等，不得拖欠（须提供加盖公章的承诺函。）</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四、项目要求7.运营管理要求</w:t>
            </w:r>
          </w:p>
        </w:tc>
        <w:tc>
          <w:tcPr>
            <w:tcW w:type="dxa" w:w="2076"/>
          </w:tcPr>
          <w:p>
            <w:pPr>
              <w:pStyle w:val="null5"/>
              <w:jc w:val="left"/>
            </w:pPr>
            <w:r>
              <w:rPr>
                <w:rFonts w:ascii="仿宋_GB2312" w:hAnsi="仿宋_GB2312" w:cs="仿宋_GB2312" w:eastAsia="仿宋_GB2312"/>
              </w:rPr>
              <w:t>①中标人严格按照经营范围规范经营，严格按照双方的约定提供服务。 ②中标人严格遵守《中华人民共和国食品安全法》等法律法规及上级有关文件规定。 ③中标人须严格遵守采购人相关管理规定。 ④中标人须建立健全内部管理体系，完善内部运行机制，加强内部管理，规范各项工作。在节假日和采购人重大活动期间，要积极配合开展必要的让利或公益活动。 ⑤中标人须积极接受上级主管部门和采购人有关部门的监督检查，严格落实整改要求，对整改建议拒不执行的，采购人有权扣除履约保证金或终止服务合同。 ⑥中标人须积极配合各项测评活动，并根据测评意见及时改进工作中的不足之处。测评满意度连续二次达不到85%或对测评整改建议拒不执行的，采购人有权扣除履约保证金或终止服务合同。测评满意度达不到80%的，直接终止服务合同。 ⑦中标人不得进行同行恶性竞争，不得与食材供货商存在不当交易，一经查实，采购人有权终止服务合同，并追究相应法律责任。 ⑧中标人负责食堂食品安全、卫生、防火、防盗等，对相应工作负有直接的组织和管理义务。必须自行做好安全、防盗、防火和食品卫生等工作，如发生失窃、火灾、食品安全等事故，造成的一切损失由中标人负全部责任，并负责消除由此给采购人带来的不利影响。 ⑨除岗前培训、日常培训外，中标人每学期应集中组织1～2次从业人员岗位业务培训，全年不低于40学时。 ⑩中标人应采取足够有效的措施合理控制成本，杜绝加工出售过程的浪费现象。每月提供当月经营核算报表，配合采购人管理方开展当月经营核算情况的检查。 ⑪中标人协助采购人加强原材料的出入库管理，建立账册，严格核算食堂毛利，月底库存盘点须由采购人参与并提交物资盘点表。</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四、项目要求8.消防安全要求</w:t>
            </w:r>
          </w:p>
        </w:tc>
        <w:tc>
          <w:tcPr>
            <w:tcW w:type="dxa" w:w="2076"/>
          </w:tcPr>
          <w:p>
            <w:pPr>
              <w:pStyle w:val="null5"/>
              <w:jc w:val="left"/>
            </w:pPr>
            <w:r>
              <w:rPr>
                <w:rFonts w:ascii="仿宋_GB2312" w:hAnsi="仿宋_GB2312" w:cs="仿宋_GB2312" w:eastAsia="仿宋_GB2312"/>
              </w:rPr>
              <w:t>①中标人负责生产场所的消防安全工作，服从上级消防部门及采购人相关职能部门的统一管理，确保消防安全无事故。配合各级消防安全检查，执行各级管理部门的消防安全整改意见，拒不执行的，采购人有权给予处罚直至解除合同。供应商积极配合采购人取得相关许可证件。 ②中标人工作人员熟练掌握消防安全知识和技能，并定期开展培训。 ③中标人应加强消防安全管理，不使用液化气罐等危险设施和烃基燃料、醇基燃料，不乱接、乱改燃气管路和用电线路，不违章违规操作。如确需改造须报采购人申请获批后由专业人员实施作业。 ④中标人须用具有相关资质人员定期对食堂油烟管路、排烟设备进行专业的清洗。</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四、项目要求9.售后服务要求</w:t>
            </w:r>
          </w:p>
        </w:tc>
        <w:tc>
          <w:tcPr>
            <w:tcW w:type="dxa" w:w="2076"/>
          </w:tcPr>
          <w:p>
            <w:pPr>
              <w:pStyle w:val="null5"/>
              <w:jc w:val="left"/>
            </w:pPr>
            <w:r>
              <w:rPr>
                <w:rFonts w:ascii="仿宋_GB2312" w:hAnsi="仿宋_GB2312" w:cs="仿宋_GB2312" w:eastAsia="仿宋_GB2312"/>
              </w:rPr>
              <w:t>中标人应配合采购人监管，在接到采购人提出的任何问题或建议后，尽快给予明确答复，并在规定时间内完成问题的整改。</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四、项目要求10.其他要求</w:t>
            </w:r>
          </w:p>
        </w:tc>
        <w:tc>
          <w:tcPr>
            <w:tcW w:type="dxa" w:w="2076"/>
          </w:tcPr>
          <w:p>
            <w:pPr>
              <w:pStyle w:val="null5"/>
              <w:jc w:val="left"/>
            </w:pPr>
            <w:r>
              <w:rPr>
                <w:rFonts w:ascii="仿宋_GB2312" w:hAnsi="仿宋_GB2312" w:cs="仿宋_GB2312" w:eastAsia="仿宋_GB2312"/>
              </w:rPr>
              <w:t>（1）中标人应遵守采购人的规章制度，配合采购人的管理和监督。 （2）中标人负责做好从业人员的食宿安排和日常安全教育，严格遵守采购人相关管理规定。 （3）中标人要配合采购人物业管理单位共同遵守垃圾处理等相关规定。 （4）中标人须保证建筑物及装饰完好，不得改动建筑物承重结构，如因中标人使用不当造成损坏的，由中标人负责修复。 （5）中标人不允许私自转让或转包，否则采购人有权解除合同。 （6）中标人应积极响应采购人的号召，参与采购人的各类活动，共同营造和谐、积极的校园文化氛围。 （7）中标⼈须针对本项目购买各类保险，如公共场所责任险、⻝品安全责任险、燃⽓安全险、“三防”险等。其中公共场所责任险、⻝品安全责任险均不少于2000万元（⼤写：⼈⺠币贰仟万元整）。</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详见技术要求</w:t>
            </w:r>
          </w:p>
        </w:tc>
        <w:tc>
          <w:tcPr>
            <w:tcW w:type="dxa" w:w="4153"/>
          </w:tcPr>
          <w:p>
            <w:pPr>
              <w:pStyle w:val="null5"/>
              <w:jc w:val="left"/>
            </w:pPr>
            <w:r>
              <w:rPr>
                <w:rFonts w:ascii="仿宋_GB2312" w:hAnsi="仿宋_GB2312" w:cs="仿宋_GB2312" w:eastAsia="仿宋_GB2312"/>
              </w:rPr>
              <w:t>详见技术要求</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详见技术要求</w:t>
            </w:r>
          </w:p>
        </w:tc>
        <w:tc>
          <w:tcPr>
            <w:tcW w:type="dxa" w:w="4153"/>
          </w:tcPr>
          <w:p>
            <w:pPr>
              <w:pStyle w:val="null5"/>
              <w:jc w:val="left"/>
            </w:pPr>
            <w:r>
              <w:rPr>
                <w:rFonts w:ascii="仿宋_GB2312" w:hAnsi="仿宋_GB2312" w:cs="仿宋_GB2312" w:eastAsia="仿宋_GB2312"/>
              </w:rPr>
              <w:t>详见技术要求</w:t>
            </w:r>
          </w:p>
        </w:tc>
      </w:tr>
    </w:tbl>
    <w:p>
      <w:pPr>
        <w:pStyle w:val="null5"/>
        <w:ind w:firstLine="480"/>
        <w:jc w:val="both"/>
      </w:pPr>
      <w:r>
        <w:rPr>
          <w:rFonts w:ascii="仿宋_GB2312" w:hAnsi="仿宋_GB2312" w:cs="仿宋_GB2312" w:eastAsia="仿宋_GB2312"/>
        </w:rPr>
        <w:t>3.3.2.商务要求</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w:t>
              <w:br/>
              <w:t>1、本项目服务期一年。采购人分别在每个合同期结束前一个月根据合同执行情况按照考核办法规定进行综合考核评定，考核合格后方可续签订下一年度合同（或重新组织采购）。</w:t>
              <w:br/>
              <w:t>2、交付时间：中标人须及时完成食堂饮食供应的各项准备工作，确保正常供餐。</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交付地点：山东第一医科大学泰安校区龙山厅。</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服务验收：</w:t>
              <w:br/>
              <w:t>（1）验收方式：</w:t>
              <w:br/>
              <w:t>①现场验收：采购人组织相关人员对中标人的现场运营情况进行验收，包括菜品质量、服务质量、环境卫生等方面。</w:t>
              <w:br/>
              <w:t>②文档验收：中标人应提供经营资质和相关资料供采购人审核。</w:t>
              <w:br/>
              <w:t>（2）验收标准：验收应依据采购人考核标准及合同约定进行，确保中标人的服务质量和菜品质量符合采购人的要求。</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1.收款方式：中标人使用采购人统一提供的一卡通或移动支付平台进行售饭服务，未经许可严禁收取现金或以企业及个人账号收费；按月结算，如遇特殊情况另行通知。</w:t>
              <w:br/>
              <w:t>2.结算流程：</w:t>
              <w:br/>
              <w:t>（1）审核：采购人每月对中标人的服务质量、菜品质量、食品安全等方面进行审核。</w:t>
              <w:br/>
              <w:t>（2）审批：采购人审核通过后，对中标人的费用进行核算并进行审批。</w:t>
              <w:br/>
              <w:t>（3）支付：采购人根据一个结算周期内的核算情况，通过银行转账的方式，在合同约定的时间内直接汇入中标人指定的银行账户。</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服务期：</w:t>
              <w:br/>
              <w:t>1、本项目服务期一年。采购人分别在每个合同期结束前一个月根据合同执行情况按照考核办法规定进行综合考核评定，考核合格后方可续签订下一年度合同（或重新组织采购）。</w:t>
              <w:br/>
              <w:t>2、交付时间：中标人须及时完成食堂饮食供应的各项准备工作，确保正常供餐。</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交付地点：山东第一医科大学泰安校区凤凰厅(含天烛厅)。</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服务验收：</w:t>
              <w:br/>
              <w:t>（1）验收方式：</w:t>
              <w:br/>
              <w:t>①现场验收：采购人组织相关人员对中标人的现场运营情况进行验收，包括菜品质量、服务质量、环境卫生等方面。</w:t>
              <w:br/>
              <w:t>②文档验收：中标人应提供经营资质和相关资料供采购人审核。</w:t>
              <w:br/>
              <w:t>（2）验收标准：验收应依据采购人考核标准及合同约定进行，确保中标人的服务质量和菜品质量符合采购人的要求。</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1.收款方式：中标人使用采购人统一提供的一卡通或移动支付平台进行售饭服务，未经许可严禁收取现金或以企业及个人账号收费；按月结算，如遇特殊情况另行通知。</w:t>
              <w:br/>
              <w:t>2.结算流程：</w:t>
              <w:br/>
              <w:t>（1）审核：采购人每月对中标人的服务质量、菜品质量、食品安全等方面进行审核。</w:t>
              <w:br/>
              <w:t>（2）审批：采购人审核通过后，对中标人的费用进行核算并进行审批。</w:t>
              <w:br/>
              <w:t>（3）支付：采购人根据一个结算周期内的核算情况，通过银行转账的方式，在合同约定的时间内直接汇入中标人指定的银行账户。</w:t>
            </w:r>
          </w:p>
        </w:tc>
      </w:tr>
    </w:tbl>
    <w:p>
      <w:pPr>
        <w:pStyle w:val="null5"/>
        <w:ind w:firstLine="480"/>
        <w:jc w:val="left"/>
        <w:outlineLvl w:val="2"/>
      </w:pPr>
      <w:r>
        <w:rPr>
          <w:rFonts w:ascii="仿宋_GB2312" w:hAnsi="仿宋_GB2312" w:cs="仿宋_GB2312" w:eastAsia="仿宋_GB2312"/>
          <w:sz w:val="28"/>
          <w:b/>
        </w:rPr>
        <w:t>3.4.其他要求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无：</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无：</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资格审查</w:t>
      </w:r>
    </w:p>
    <w:p>
      <w:pPr>
        <w:pStyle w:val="null5"/>
        <w:ind w:firstLine="480"/>
        <w:jc w:val="both"/>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5"/>
        <w:jc w:val="left"/>
        <w:outlineLvl w:val="2"/>
      </w:pPr>
      <w:r>
        <w:rPr>
          <w:rFonts w:ascii="仿宋_GB2312" w:hAnsi="仿宋_GB2312" w:cs="仿宋_GB2312" w:eastAsia="仿宋_GB2312"/>
          <w:sz w:val="28"/>
          <w:b/>
        </w:rPr>
        <w:t>4.1.一般资格审查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投标人是企业（包括合伙企业）的，应提供其在工商部门注册的有效“企业法人营业执照”或“营业执照”；投标人是事业单位的，应提供其有效的“事业单位法人证书”；投标人是非企业专业服务机构的，应提供其有效的执业许可证；投标人是个体工商户的，应提供其有效的“个体工商户营业执照”；投标人是自然人的，应提供其有效的自然人身份证明。</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法定代表人资格证明书或法定代表人授权委托书</w:t>
            </w:r>
          </w:p>
        </w:tc>
        <w:tc>
          <w:tcPr>
            <w:tcW w:type="dxa" w:w="3322"/>
          </w:tcPr>
          <w:p>
            <w:pPr>
              <w:pStyle w:val="null5"/>
              <w:jc w:val="left"/>
            </w:pPr>
            <w:r>
              <w:rPr>
                <w:rFonts w:ascii="仿宋_GB2312" w:hAnsi="仿宋_GB2312" w:cs="仿宋_GB2312" w:eastAsia="仿宋_GB2312"/>
              </w:rPr>
              <w:t>如法定代表人投标，需提供法定代表人资格证明书，授权代理人参加投标的，须提供法定代表人授权委托书及授权代理人在本单位缴纳社保证明（投标文件递交截止时间前近3个月的连续证明，加盖本单位公章，新成立企业提供成立以来的）</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投标人须具有良好的商业信誉和健全的财务会计制度</w:t>
            </w:r>
          </w:p>
        </w:tc>
        <w:tc>
          <w:tcPr>
            <w:tcW w:type="dxa" w:w="3322"/>
          </w:tcPr>
          <w:p>
            <w:pPr>
              <w:pStyle w:val="null5"/>
              <w:jc w:val="left"/>
            </w:pPr>
            <w:r>
              <w:rPr>
                <w:rFonts w:ascii="仿宋_GB2312" w:hAnsi="仿宋_GB2312" w:cs="仿宋_GB2312" w:eastAsia="仿宋_GB2312"/>
              </w:rPr>
              <w:t>投标人2024年度或2025年度财务报表（包括资产负债表、利润表，须体现投标人信息），或2024年度或2025年度经审计的审计报告，或其基本开户银行出具的开标前三个月内资信证明。（投标人为事业单位法人、小规模纳税人或新成立企业，据实提供即可）</w:t>
            </w:r>
          </w:p>
        </w:tc>
        <w:tc>
          <w:tcPr>
            <w:tcW w:type="dxa" w:w="1661"/>
          </w:tcPr>
          <w:p>
            <w:pPr>
              <w:pStyle w:val="null5"/>
              <w:jc w:val="left"/>
            </w:pPr>
            <w:r>
              <w:rPr>
                <w:rFonts w:ascii="仿宋_GB2312" w:hAnsi="仿宋_GB2312" w:cs="仿宋_GB2312" w:eastAsia="仿宋_GB2312"/>
              </w:rPr>
              <w:t>具有良好的商业信誉和健全的财务会计制度证明材料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投标人须具有依法缴纳税收和社会保障资金的良好记录</w:t>
            </w:r>
          </w:p>
        </w:tc>
        <w:tc>
          <w:tcPr>
            <w:tcW w:type="dxa" w:w="3322"/>
          </w:tcPr>
          <w:p>
            <w:pPr>
              <w:pStyle w:val="null5"/>
              <w:jc w:val="left"/>
            </w:pPr>
            <w:r>
              <w:rPr>
                <w:rFonts w:ascii="仿宋_GB2312" w:hAnsi="仿宋_GB2312" w:cs="仿宋_GB2312" w:eastAsia="仿宋_GB2312"/>
              </w:rPr>
              <w:t>1.缴纳税收的证明材料是指投标人参加本次招标活动半年内任意一个月内缴纳税收的凭据。缴纳社会保障资金的证明材料是指参加本次招标活动半年内任意一个月内缴纳社会保险的凭据（专用收据或社会保险缴纳清单），其他组织和自然人也需要提供缴纳税收的凭据和缴纳社会保险的凭据；2.依法免税或不需要缴纳社会保障资金的投标人，应提供相关证明材料；3.适用于《依法缴纳税收和社会保障资金承诺函》情形的投标人应提前在“中国山东政府采购网”查询本单位缴纳税收和社会保障资金的情况，可提供《依法缴纳税收和社会保障资金承诺函》。具体要求详见《山东省财政厅关于推行政府采购供应商资格信用承诺制的通知》</w:t>
            </w:r>
          </w:p>
        </w:tc>
        <w:tc>
          <w:tcPr>
            <w:tcW w:type="dxa" w:w="1661"/>
          </w:tcPr>
          <w:p>
            <w:pPr>
              <w:pStyle w:val="null5"/>
              <w:jc w:val="left"/>
            </w:pPr>
            <w:r>
              <w:rPr>
                <w:rFonts w:ascii="仿宋_GB2312" w:hAnsi="仿宋_GB2312" w:cs="仿宋_GB2312" w:eastAsia="仿宋_GB2312"/>
              </w:rPr>
              <w:t>依法缴纳税收和社会保障资金的相关证明材料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投标人须具有履行合同所必需的设备和专业技术能力</w:t>
            </w:r>
          </w:p>
        </w:tc>
        <w:tc>
          <w:tcPr>
            <w:tcW w:type="dxa" w:w="3322"/>
          </w:tcPr>
          <w:p>
            <w:pPr>
              <w:pStyle w:val="null5"/>
              <w:jc w:val="left"/>
            </w:pPr>
            <w:r>
              <w:rPr>
                <w:rFonts w:ascii="仿宋_GB2312" w:hAnsi="仿宋_GB2312" w:cs="仿宋_GB2312" w:eastAsia="仿宋_GB2312"/>
              </w:rPr>
              <w:t>附具备履行合同所必需设备和专业技术能力声明函。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近三年内（本项目投标文件递交截止日前）投标人在经营活动中没有重大违法记录</w:t>
            </w:r>
          </w:p>
        </w:tc>
        <w:tc>
          <w:tcPr>
            <w:tcW w:type="dxa" w:w="3322"/>
          </w:tcPr>
          <w:p>
            <w:pPr>
              <w:pStyle w:val="null5"/>
              <w:jc w:val="left"/>
            </w:pPr>
            <w:r>
              <w:rPr>
                <w:rFonts w:ascii="仿宋_GB2312" w:hAnsi="仿宋_GB2312" w:cs="仿宋_GB2312" w:eastAsia="仿宋_GB2312"/>
              </w:rPr>
              <w:t>提供无重大违法记录声明函。</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在“信用中国”、“中国政府采购网”网站中未被列入“失信被执行人名单”、“重大税收违法失信主体”、“政府采购严重违法失信行为记录名单”</w:t>
            </w:r>
          </w:p>
        </w:tc>
        <w:tc>
          <w:tcPr>
            <w:tcW w:type="dxa" w:w="1661"/>
          </w:tcPr>
          <w:p>
            <w:pPr>
              <w:pStyle w:val="null5"/>
              <w:jc w:val="left"/>
            </w:pPr>
            <w:r>
              <w:rPr>
                <w:rFonts w:ascii="仿宋_GB2312" w:hAnsi="仿宋_GB2312" w:cs="仿宋_GB2312" w:eastAsia="仿宋_GB2312"/>
              </w:rPr>
              <w:t>供应商应提交的相关证明材料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单位负责人为同一人或者存在直接控股、管理关系的不同供应商，不得参加同一合同项下（同一包号）的政府采购活动</w:t>
            </w:r>
          </w:p>
        </w:tc>
        <w:tc>
          <w:tcPr>
            <w:tcW w:type="dxa" w:w="3322"/>
          </w:tcPr>
          <w:p>
            <w:pPr>
              <w:pStyle w:val="null5"/>
              <w:jc w:val="left"/>
            </w:pPr>
            <w:r>
              <w:rPr>
                <w:rFonts w:ascii="仿宋_GB2312" w:hAnsi="仿宋_GB2312" w:cs="仿宋_GB2312" w:eastAsia="仿宋_GB2312"/>
              </w:rPr>
              <w:t>投标人须提供书面声明</w:t>
            </w:r>
          </w:p>
        </w:tc>
        <w:tc>
          <w:tcPr>
            <w:tcW w:type="dxa" w:w="1661"/>
          </w:tcPr>
          <w:p>
            <w:pPr>
              <w:pStyle w:val="null5"/>
              <w:jc w:val="left"/>
            </w:pPr>
            <w:r>
              <w:rPr>
                <w:rFonts w:ascii="仿宋_GB2312" w:hAnsi="仿宋_GB2312" w:cs="仿宋_GB2312" w:eastAsia="仿宋_GB2312"/>
              </w:rPr>
              <w:t>单位负责人不为同一人或者不存在直接控股、管理关系的书面声明</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投标人是企业（包括合伙企业）的，应提供其在工商部门注册的有效“企业法人营业执照”或“营业执照”；投标人是事业单位的，应提供其有效的“事业单位法人证书”；投标人是非企业专业服务机构的，应提供其有效的执业许可证；投标人是个体工商户的，应提供其有效的“个体工商户营业执照”；投标人是自然人的，应提供其有效的自然人身份证明。</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法定代表人资格证明书或法定代表人授权委托书</w:t>
            </w:r>
          </w:p>
        </w:tc>
        <w:tc>
          <w:tcPr>
            <w:tcW w:type="dxa" w:w="3322"/>
          </w:tcPr>
          <w:p>
            <w:pPr>
              <w:pStyle w:val="null5"/>
              <w:jc w:val="left"/>
            </w:pPr>
            <w:r>
              <w:rPr>
                <w:rFonts w:ascii="仿宋_GB2312" w:hAnsi="仿宋_GB2312" w:cs="仿宋_GB2312" w:eastAsia="仿宋_GB2312"/>
              </w:rPr>
              <w:t>如法定代表人投标，需提供法定代表人资格证明书，授权代理人参加投标的，须提供法定代表人授权委托书及授权代理人在本单位缴纳社保证明（投标文件递交截止时间前近3个月的连续证明，加盖本单位公章，新成立企业提供成立以来的）</w:t>
            </w:r>
          </w:p>
        </w:tc>
        <w:tc>
          <w:tcPr>
            <w:tcW w:type="dxa" w:w="1661"/>
          </w:tcPr>
          <w:p>
            <w:pPr>
              <w:pStyle w:val="null5"/>
              <w:jc w:val="left"/>
            </w:pPr>
            <w:r>
              <w:rPr>
                <w:rFonts w:ascii="仿宋_GB2312" w:hAnsi="仿宋_GB2312" w:cs="仿宋_GB2312" w:eastAsia="仿宋_GB2312"/>
              </w:rPr>
              <w:t>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投标人须具有良好的商业信誉和健全的财务会计制度</w:t>
            </w:r>
          </w:p>
        </w:tc>
        <w:tc>
          <w:tcPr>
            <w:tcW w:type="dxa" w:w="3322"/>
          </w:tcPr>
          <w:p>
            <w:pPr>
              <w:pStyle w:val="null5"/>
              <w:jc w:val="left"/>
            </w:pPr>
            <w:r>
              <w:rPr>
                <w:rFonts w:ascii="仿宋_GB2312" w:hAnsi="仿宋_GB2312" w:cs="仿宋_GB2312" w:eastAsia="仿宋_GB2312"/>
              </w:rPr>
              <w:t>投标人2024年度或2025年度财务报表（包括资产负债表、利润表，须体现投标人信息），或2024年度或2025年度经审计的审计报告，或其基本开户银行出具的开标前三个月内资信证明。（投标人为事业单位法人、小规模纳税人或新成立企业，据实提供即可）</w:t>
            </w:r>
          </w:p>
        </w:tc>
        <w:tc>
          <w:tcPr>
            <w:tcW w:type="dxa" w:w="1661"/>
          </w:tcPr>
          <w:p>
            <w:pPr>
              <w:pStyle w:val="null5"/>
              <w:jc w:val="left"/>
            </w:pPr>
            <w:r>
              <w:rPr>
                <w:rFonts w:ascii="仿宋_GB2312" w:hAnsi="仿宋_GB2312" w:cs="仿宋_GB2312" w:eastAsia="仿宋_GB2312"/>
              </w:rPr>
              <w:t>具有良好的商业信誉和健全的财务会计制度证明材料</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投标人须具有依法缴纳税收和社会保障资金的良好记录</w:t>
            </w:r>
          </w:p>
        </w:tc>
        <w:tc>
          <w:tcPr>
            <w:tcW w:type="dxa" w:w="3322"/>
          </w:tcPr>
          <w:p>
            <w:pPr>
              <w:pStyle w:val="null5"/>
              <w:jc w:val="left"/>
            </w:pPr>
            <w:r>
              <w:rPr>
                <w:rFonts w:ascii="仿宋_GB2312" w:hAnsi="仿宋_GB2312" w:cs="仿宋_GB2312" w:eastAsia="仿宋_GB2312"/>
              </w:rPr>
              <w:t>1.缴纳税收的证明材料是指投标人参加本次招标活动半年内任意一个月内缴纳税收的凭据。缴纳社会保障资金的证明材料是指参加本次招标活动半年内任意一个月内缴纳社会保险的凭据（专用收据或社会保险缴纳清单），其他组织和自然人也需要提供缴纳税收的凭据和缴纳社会保险的凭据；2.依法免税或不需要缴纳社会保障资金的投标人，应提供相关证明材料；3.适用于《依法缴纳税收和社会保障资金承诺函》情形的投标人应提前在“中国山东政府采购网”查询本单位缴纳税收和社会保障资金的情况，可提供《依法缴纳税收和社会保障资金承诺函》。具体要求详见《山东省财政厅关于推行政府采购供应商资格信用承诺制的通知》</w:t>
            </w:r>
          </w:p>
        </w:tc>
        <w:tc>
          <w:tcPr>
            <w:tcW w:type="dxa" w:w="1661"/>
          </w:tcPr>
          <w:p>
            <w:pPr>
              <w:pStyle w:val="null5"/>
              <w:jc w:val="left"/>
            </w:pPr>
            <w:r>
              <w:rPr>
                <w:rFonts w:ascii="仿宋_GB2312" w:hAnsi="仿宋_GB2312" w:cs="仿宋_GB2312" w:eastAsia="仿宋_GB2312"/>
              </w:rPr>
              <w:t>依法缴纳税收和社会保障资金的相关证明材料</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投标人须具有履行合同所必需的设备和专业技术能力</w:t>
            </w:r>
          </w:p>
        </w:tc>
        <w:tc>
          <w:tcPr>
            <w:tcW w:type="dxa" w:w="3322"/>
          </w:tcPr>
          <w:p>
            <w:pPr>
              <w:pStyle w:val="null5"/>
              <w:jc w:val="left"/>
            </w:pPr>
            <w:r>
              <w:rPr>
                <w:rFonts w:ascii="仿宋_GB2312" w:hAnsi="仿宋_GB2312" w:cs="仿宋_GB2312" w:eastAsia="仿宋_GB2312"/>
              </w:rPr>
              <w:t>附具备履行合同所必需设备和专业技术能力声明函。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近三年内（本项目投标文件递交截止日前）投标人在经营活动中没有重大违法记录</w:t>
            </w:r>
          </w:p>
        </w:tc>
        <w:tc>
          <w:tcPr>
            <w:tcW w:type="dxa" w:w="3322"/>
          </w:tcPr>
          <w:p>
            <w:pPr>
              <w:pStyle w:val="null5"/>
              <w:jc w:val="left"/>
            </w:pPr>
            <w:r>
              <w:rPr>
                <w:rFonts w:ascii="仿宋_GB2312" w:hAnsi="仿宋_GB2312" w:cs="仿宋_GB2312" w:eastAsia="仿宋_GB2312"/>
              </w:rPr>
              <w:t>提供无重大违法记录声明函。</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在“信用中国”、“中国政府采购网”网站中未被列入“失信被执行人名单”、“重大税收违法失信主体”、“政府采购严重违法失信行为记录名单”</w:t>
            </w:r>
          </w:p>
        </w:tc>
        <w:tc>
          <w:tcPr>
            <w:tcW w:type="dxa" w:w="1661"/>
          </w:tcPr>
          <w:p>
            <w:pPr>
              <w:pStyle w:val="null5"/>
              <w:jc w:val="left"/>
            </w:pPr>
            <w:r>
              <w:rPr>
                <w:rFonts w:ascii="仿宋_GB2312" w:hAnsi="仿宋_GB2312" w:cs="仿宋_GB2312" w:eastAsia="仿宋_GB2312"/>
              </w:rPr>
              <w:t>供应商应提交的相关证明材料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单位负责人为同一人或者存在直接控股、管理关系的不同供应商，不得参加同一合同项下（同一包号）的政府采购活动</w:t>
            </w:r>
          </w:p>
        </w:tc>
        <w:tc>
          <w:tcPr>
            <w:tcW w:type="dxa" w:w="3322"/>
          </w:tcPr>
          <w:p>
            <w:pPr>
              <w:pStyle w:val="null5"/>
              <w:jc w:val="left"/>
            </w:pPr>
            <w:r>
              <w:rPr>
                <w:rFonts w:ascii="仿宋_GB2312" w:hAnsi="仿宋_GB2312" w:cs="仿宋_GB2312" w:eastAsia="仿宋_GB2312"/>
              </w:rPr>
              <w:t>投标人须提供书面声明</w:t>
            </w:r>
          </w:p>
        </w:tc>
        <w:tc>
          <w:tcPr>
            <w:tcW w:type="dxa" w:w="1661"/>
          </w:tcPr>
          <w:p>
            <w:pPr>
              <w:pStyle w:val="null5"/>
              <w:jc w:val="left"/>
            </w:pPr>
            <w:r>
              <w:rPr>
                <w:rFonts w:ascii="仿宋_GB2312" w:hAnsi="仿宋_GB2312" w:cs="仿宋_GB2312" w:eastAsia="仿宋_GB2312"/>
              </w:rPr>
              <w:t>单位负责人不为同一人或者不存在直接控股、管理关系的书面声明</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符合法律、行政法规规定的其他条件</w:t>
            </w:r>
          </w:p>
        </w:tc>
        <w:tc>
          <w:tcPr>
            <w:tcW w:type="dxa" w:w="3322"/>
          </w:tcPr>
          <w:p>
            <w:pPr>
              <w:pStyle w:val="null5"/>
              <w:jc w:val="left"/>
            </w:pPr>
            <w:r>
              <w:rPr>
                <w:rFonts w:ascii="仿宋_GB2312" w:hAnsi="仿宋_GB2312" w:cs="仿宋_GB2312" w:eastAsia="仿宋_GB2312"/>
              </w:rPr>
              <w:t>符合法律、行政法规规定的其他条件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jc w:val="left"/>
        <w:outlineLvl w:val="2"/>
      </w:pPr>
      <w:r>
        <w:rPr>
          <w:rFonts w:ascii="仿宋_GB2312" w:hAnsi="仿宋_GB2312" w:cs="仿宋_GB2312" w:eastAsia="仿宋_GB2312"/>
          <w:sz w:val="28"/>
          <w:b/>
        </w:rPr>
        <w:t>4.2.落实政府采购政策资格审查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jc w:val="left"/>
        <w:outlineLvl w:val="2"/>
      </w:pPr>
      <w:r>
        <w:rPr>
          <w:rFonts w:ascii="仿宋_GB2312" w:hAnsi="仿宋_GB2312" w:cs="仿宋_GB2312" w:eastAsia="仿宋_GB2312"/>
          <w:sz w:val="28"/>
          <w:b/>
        </w:rPr>
        <w:t>4.3.特定资格审查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投标人须具备有效的《食品经营许可证》</w:t>
            </w:r>
          </w:p>
        </w:tc>
        <w:tc>
          <w:tcPr>
            <w:tcW w:type="dxa" w:w="3322"/>
          </w:tcPr>
          <w:p>
            <w:pPr>
              <w:pStyle w:val="null5"/>
              <w:jc w:val="left"/>
            </w:pPr>
            <w:r>
              <w:rPr>
                <w:rFonts w:ascii="仿宋_GB2312" w:hAnsi="仿宋_GB2312" w:cs="仿宋_GB2312" w:eastAsia="仿宋_GB2312"/>
              </w:rPr>
              <w:t>投标人须提供有效的《食品经营许可证》扫描件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投标人须具备有效的《食品经营许可证》</w:t>
            </w:r>
          </w:p>
        </w:tc>
        <w:tc>
          <w:tcPr>
            <w:tcW w:type="dxa" w:w="3322"/>
          </w:tcPr>
          <w:p>
            <w:pPr>
              <w:pStyle w:val="null5"/>
              <w:jc w:val="left"/>
            </w:pPr>
            <w:r>
              <w:rPr>
                <w:rFonts w:ascii="仿宋_GB2312" w:hAnsi="仿宋_GB2312" w:cs="仿宋_GB2312" w:eastAsia="仿宋_GB2312"/>
              </w:rPr>
              <w:t>投标人须提供有效的《食品经营许可证》扫描件</w:t>
            </w:r>
          </w:p>
        </w:tc>
        <w:tc>
          <w:tcPr>
            <w:tcW w:type="dxa" w:w="1661"/>
          </w:tcPr>
          <w:p>
            <w:pPr>
              <w:pStyle w:val="null5"/>
              <w:jc w:val="left"/>
            </w:pPr>
            <w:r>
              <w:rPr>
                <w:rFonts w:ascii="仿宋_GB2312" w:hAnsi="仿宋_GB2312" w:cs="仿宋_GB2312" w:eastAsia="仿宋_GB2312"/>
              </w:rPr>
              <w:t>供应商应提交的相关证明材料</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一、根据《中华人民共和国政府采购法》《中华人民共和国政府采购法实施条例》《政府采购货物和服务招标投标管理办法》等法律制度规定，结合采购项目特点制定本评标办法。</w:t>
      </w:r>
    </w:p>
    <w:p>
      <w:pPr>
        <w:pStyle w:val="null5"/>
        <w:ind w:firstLine="480"/>
        <w:jc w:val="both"/>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5"/>
        <w:ind w:firstLine="480"/>
        <w:jc w:val="both"/>
      </w:pPr>
      <w:r>
        <w:rPr>
          <w:rFonts w:ascii="仿宋_GB2312" w:hAnsi="仿宋_GB2312" w:cs="仿宋_GB2312" w:eastAsia="仿宋_GB2312"/>
        </w:rPr>
        <w:t>三、评标工作应遵循客观、公正、审慎的原则，根据招标文件规定的评标程序、评标方法和评标标准进行独立评标。</w:t>
      </w:r>
    </w:p>
    <w:p>
      <w:pPr>
        <w:pStyle w:val="null5"/>
        <w:ind w:firstLine="480"/>
        <w:jc w:val="both"/>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5"/>
        <w:ind w:firstLine="480"/>
        <w:jc w:val="both"/>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5"/>
        <w:ind w:firstLine="480"/>
        <w:jc w:val="left"/>
        <w:outlineLvl w:val="2"/>
      </w:pPr>
      <w:r>
        <w:rPr>
          <w:rFonts w:ascii="仿宋_GB2312" w:hAnsi="仿宋_GB2312" w:cs="仿宋_GB2312" w:eastAsia="仿宋_GB2312"/>
          <w:sz w:val="28"/>
          <w:b/>
        </w:rPr>
        <w:t>5.2.评标委员会</w:t>
      </w:r>
    </w:p>
    <w:p>
      <w:pPr>
        <w:pStyle w:val="null5"/>
        <w:ind w:firstLine="480"/>
        <w:jc w:val="both"/>
      </w:pPr>
      <w:r>
        <w:rPr>
          <w:rFonts w:ascii="仿宋_GB2312" w:hAnsi="仿宋_GB2312" w:cs="仿宋_GB2312" w:eastAsia="仿宋_GB2312"/>
        </w:rPr>
        <w:t>一、本项目评标委员会成员人数应当为 5 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5"/>
        <w:ind w:firstLine="480"/>
        <w:jc w:val="both"/>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5"/>
        <w:ind w:firstLine="480"/>
        <w:jc w:val="both"/>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5"/>
        <w:ind w:firstLine="480"/>
        <w:jc w:val="both"/>
      </w:pPr>
      <w:r>
        <w:rPr>
          <w:rFonts w:ascii="仿宋_GB2312" w:hAnsi="仿宋_GB2312" w:cs="仿宋_GB2312" w:eastAsia="仿宋_GB2312"/>
        </w:rPr>
        <w:t>四、评标委员会应当履行下列职责：</w:t>
      </w:r>
    </w:p>
    <w:p>
      <w:pPr>
        <w:pStyle w:val="null5"/>
        <w:ind w:firstLine="480"/>
        <w:jc w:val="both"/>
      </w:pPr>
      <w:r>
        <w:rPr>
          <w:rFonts w:ascii="仿宋_GB2312" w:hAnsi="仿宋_GB2312" w:cs="仿宋_GB2312" w:eastAsia="仿宋_GB2312"/>
        </w:rPr>
        <w:t>（一）熟悉和理解招标文件；</w:t>
      </w:r>
    </w:p>
    <w:p>
      <w:pPr>
        <w:pStyle w:val="null5"/>
        <w:ind w:firstLine="480"/>
        <w:jc w:val="both"/>
      </w:pPr>
      <w:r>
        <w:rPr>
          <w:rFonts w:ascii="仿宋_GB2312" w:hAnsi="仿宋_GB2312" w:cs="仿宋_GB2312" w:eastAsia="仿宋_GB2312"/>
        </w:rPr>
        <w:t>（二）审查、评价投标文件是否符合招标文件的商务、技术等实质性要求；</w:t>
      </w:r>
    </w:p>
    <w:p>
      <w:pPr>
        <w:pStyle w:val="null5"/>
        <w:ind w:firstLine="480"/>
        <w:jc w:val="both"/>
      </w:pPr>
      <w:r>
        <w:rPr>
          <w:rFonts w:ascii="仿宋_GB2312" w:hAnsi="仿宋_GB2312" w:cs="仿宋_GB2312" w:eastAsia="仿宋_GB2312"/>
        </w:rPr>
        <w:t>（三）对投标文件进行比较和评价；</w:t>
      </w:r>
    </w:p>
    <w:p>
      <w:pPr>
        <w:pStyle w:val="null5"/>
        <w:ind w:firstLine="480"/>
        <w:jc w:val="both"/>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5"/>
        <w:ind w:firstLine="480"/>
        <w:jc w:val="both"/>
      </w:pPr>
      <w:r>
        <w:rPr>
          <w:rFonts w:ascii="仿宋_GB2312" w:hAnsi="仿宋_GB2312" w:cs="仿宋_GB2312" w:eastAsia="仿宋_GB2312"/>
        </w:rPr>
        <w:t>（五）确定中标候选人名单，以及根据采购人委托直接确定中标人；</w:t>
      </w:r>
    </w:p>
    <w:p>
      <w:pPr>
        <w:pStyle w:val="null5"/>
        <w:ind w:firstLine="480"/>
        <w:jc w:val="both"/>
      </w:pPr>
      <w:r>
        <w:rPr>
          <w:rFonts w:ascii="仿宋_GB2312" w:hAnsi="仿宋_GB2312" w:cs="仿宋_GB2312" w:eastAsia="仿宋_GB2312"/>
        </w:rPr>
        <w:t>（六）起草评标报告并进行签署；</w:t>
      </w:r>
    </w:p>
    <w:p>
      <w:pPr>
        <w:pStyle w:val="null5"/>
        <w:ind w:firstLine="480"/>
        <w:jc w:val="both"/>
      </w:pPr>
      <w:r>
        <w:rPr>
          <w:rFonts w:ascii="仿宋_GB2312" w:hAnsi="仿宋_GB2312" w:cs="仿宋_GB2312" w:eastAsia="仿宋_GB2312"/>
        </w:rPr>
        <w:t>（七）向采购人、代理机构或者有关部门报告评标中发现的违法行为；</w:t>
      </w:r>
    </w:p>
    <w:p>
      <w:pPr>
        <w:pStyle w:val="null5"/>
        <w:ind w:firstLine="480"/>
        <w:jc w:val="both"/>
      </w:pPr>
      <w:r>
        <w:rPr>
          <w:rFonts w:ascii="仿宋_GB2312" w:hAnsi="仿宋_GB2312" w:cs="仿宋_GB2312" w:eastAsia="仿宋_GB2312"/>
        </w:rPr>
        <w:t>（八）法律、法规和规章规定的其他职责。</w:t>
      </w:r>
    </w:p>
    <w:p>
      <w:pPr>
        <w:pStyle w:val="null5"/>
        <w:ind w:firstLine="480"/>
        <w:jc w:val="left"/>
        <w:outlineLvl w:val="2"/>
      </w:pPr>
      <w:r>
        <w:rPr>
          <w:rFonts w:ascii="仿宋_GB2312" w:hAnsi="仿宋_GB2312" w:cs="仿宋_GB2312" w:eastAsia="仿宋_GB2312"/>
          <w:sz w:val="28"/>
          <w:b/>
        </w:rPr>
        <w:t>5.3.评标程序</w:t>
      </w:r>
    </w:p>
    <w:p>
      <w:pPr>
        <w:pStyle w:val="null5"/>
        <w:ind w:firstLine="480"/>
        <w:jc w:val="both"/>
      </w:pPr>
      <w:r>
        <w:rPr>
          <w:rFonts w:ascii="仿宋_GB2312" w:hAnsi="仿宋_GB2312" w:cs="仿宋_GB2312" w:eastAsia="仿宋_GB2312"/>
        </w:rPr>
        <w:t>5.3.1.熟悉和理解招标文件</w:t>
      </w:r>
    </w:p>
    <w:p>
      <w:pPr>
        <w:pStyle w:val="null5"/>
        <w:ind w:firstLine="480"/>
        <w:jc w:val="both"/>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5"/>
        <w:ind w:firstLine="480"/>
        <w:jc w:val="both"/>
      </w:pPr>
      <w:r>
        <w:rPr>
          <w:rFonts w:ascii="仿宋_GB2312" w:hAnsi="仿宋_GB2312" w:cs="仿宋_GB2312" w:eastAsia="仿宋_GB2312"/>
        </w:rPr>
        <w:t>5.3.2.停止评标的情形</w:t>
      </w:r>
    </w:p>
    <w:p>
      <w:pPr>
        <w:pStyle w:val="null5"/>
        <w:ind w:firstLine="480"/>
        <w:jc w:val="both"/>
      </w:pPr>
      <w:r>
        <w:rPr>
          <w:rFonts w:ascii="仿宋_GB2312" w:hAnsi="仿宋_GB2312" w:cs="仿宋_GB2312" w:eastAsia="仿宋_GB2312"/>
        </w:rPr>
        <w:t>本招标文件有下列情形之一的，评标委员会应当停止评标：</w:t>
      </w:r>
    </w:p>
    <w:p>
      <w:pPr>
        <w:pStyle w:val="null5"/>
        <w:ind w:firstLine="480"/>
        <w:jc w:val="both"/>
      </w:pPr>
      <w:r>
        <w:rPr>
          <w:rFonts w:ascii="仿宋_GB2312" w:hAnsi="仿宋_GB2312" w:cs="仿宋_GB2312" w:eastAsia="仿宋_GB2312"/>
        </w:rPr>
        <w:t>一、招标文件的规定存在歧义、重大缺陷，导致评标工作无法进行的；</w:t>
      </w:r>
    </w:p>
    <w:p>
      <w:pPr>
        <w:pStyle w:val="null5"/>
        <w:ind w:firstLine="480"/>
        <w:jc w:val="both"/>
      </w:pPr>
      <w:r>
        <w:rPr>
          <w:rFonts w:ascii="仿宋_GB2312" w:hAnsi="仿宋_GB2312" w:cs="仿宋_GB2312" w:eastAsia="仿宋_GB2312"/>
        </w:rPr>
        <w:t>二、招标文件明显以不合理条件对投标人实行差别待遇或者歧视待遇的；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三、采购项目属于国家规定的优先、强制采购范围，但是招标文件未依法体现优先、强制采购相关规定的；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5"/>
        <w:ind w:firstLine="480"/>
        <w:jc w:val="both"/>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5"/>
        <w:ind w:firstLine="480"/>
        <w:jc w:val="both"/>
      </w:pPr>
      <w:r>
        <w:rPr>
          <w:rFonts w:ascii="仿宋_GB2312" w:hAnsi="仿宋_GB2312" w:cs="仿宋_GB2312" w:eastAsia="仿宋_GB2312"/>
        </w:rPr>
        <w:t>六、招标文件将投标人的资格条件列为评分因素的；</w:t>
      </w:r>
    </w:p>
    <w:p>
      <w:pPr>
        <w:pStyle w:val="null5"/>
        <w:ind w:firstLine="480"/>
        <w:jc w:val="both"/>
      </w:pPr>
      <w:r>
        <w:rPr>
          <w:rFonts w:ascii="仿宋_GB2312" w:hAnsi="仿宋_GB2312" w:cs="仿宋_GB2312" w:eastAsia="仿宋_GB2312"/>
        </w:rPr>
        <w:t>七、招标文件有违反国家其他有关强制性规定的情形。</w:t>
      </w:r>
    </w:p>
    <w:p>
      <w:pPr>
        <w:pStyle w:val="null5"/>
        <w:ind w:firstLine="480"/>
        <w:jc w:val="both"/>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5"/>
        <w:ind w:firstLine="480"/>
        <w:jc w:val="both"/>
      </w:pPr>
      <w:r>
        <w:rPr>
          <w:rFonts w:ascii="仿宋_GB2312" w:hAnsi="仿宋_GB2312" w:cs="仿宋_GB2312" w:eastAsia="仿宋_GB2312"/>
        </w:rPr>
        <w:t>出现上述应当停止评标情形的，采购人、代理机构应当将停止评标的情形和具体原因通过交易系统告知参加采购活动的投标人，并在“中国山东政府采购网”公告。采购人、代理机构认为评标委员会不应当停止评标的，可以书面报告采购项目同级财政部门依法处理，并提供相关证明材料。</w:t>
      </w:r>
    </w:p>
    <w:p>
      <w:pPr>
        <w:pStyle w:val="null5"/>
        <w:ind w:firstLine="480"/>
        <w:jc w:val="both"/>
      </w:pPr>
      <w:r>
        <w:rPr>
          <w:rFonts w:ascii="仿宋_GB2312" w:hAnsi="仿宋_GB2312" w:cs="仿宋_GB2312" w:eastAsia="仿宋_GB2312"/>
        </w:rPr>
        <w:t>5.3.3.符合性审查</w:t>
      </w:r>
    </w:p>
    <w:p>
      <w:pPr>
        <w:pStyle w:val="null5"/>
        <w:ind w:firstLine="480"/>
        <w:jc w:val="both"/>
      </w:pPr>
      <w:r>
        <w:rPr>
          <w:rFonts w:ascii="仿宋_GB2312" w:hAnsi="仿宋_GB2312" w:cs="仿宋_GB2312" w:eastAsia="仿宋_GB2312"/>
        </w:rPr>
        <w:t>评标委员会依据本招标文件的符合性审查要求，对符合资格要求投标人的投标文件进行符合性审查。</w:t>
      </w:r>
    </w:p>
    <w:p>
      <w:pPr>
        <w:pStyle w:val="null5"/>
        <w:ind w:firstLine="480"/>
        <w:jc w:val="both"/>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式样、签署和盖章</w:t>
            </w:r>
          </w:p>
        </w:tc>
        <w:tc>
          <w:tcPr>
            <w:tcW w:type="dxa" w:w="3322"/>
          </w:tcPr>
          <w:p>
            <w:pPr>
              <w:pStyle w:val="null5"/>
              <w:jc w:val="left"/>
            </w:pPr>
            <w:r>
              <w:rPr>
                <w:rFonts w:ascii="仿宋_GB2312" w:hAnsi="仿宋_GB2312" w:cs="仿宋_GB2312" w:eastAsia="仿宋_GB2312"/>
              </w:rPr>
              <w:t>须符合招标文件的式样、签署和盖章要求且内容完整无缺漏。</w:t>
            </w:r>
          </w:p>
        </w:tc>
        <w:tc>
          <w:tcPr>
            <w:tcW w:type="dxa" w:w="1661"/>
          </w:tcPr>
          <w:p>
            <w:pPr>
              <w:pStyle w:val="null5"/>
              <w:jc w:val="left"/>
            </w:pPr>
            <w:r>
              <w:rPr>
                <w:rFonts w:ascii="仿宋_GB2312" w:hAnsi="仿宋_GB2312" w:cs="仿宋_GB2312" w:eastAsia="仿宋_GB2312"/>
              </w:rPr>
              <w:t>中小企业声明函（服务）、承诺函、技术偏离表、关于本国产品成本占比的承诺函（若有）、项目负责人简历表、监狱企业证明文件、自觉抵制政府采购领域商业贿赂行为承诺书、报价表、技术评审文件、拟投入项目人员一览表、具有独立承担民事责任的能力证明文件、业绩一览表、投标函、商务偏离表、其他材料、具有良好的商业信誉和健全的财务会计制度证明材料、残疾人福利性单位声明函、单位负责人不为同一人或者不存在直接控股、管理关系的书面声明、关于符合本国产品标准的声明函（若有）、供应商应提交的相关证明材料、无重大违法记录声明函、法定代表人资格证明书或法定代表人授权委托书、依法缴纳税收和社会保障资金的相关证明材料、具备履行合同所必需设备和专业技术能力的声明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投标报价</w:t>
            </w:r>
          </w:p>
        </w:tc>
        <w:tc>
          <w:tcPr>
            <w:tcW w:type="dxa" w:w="3322"/>
          </w:tcPr>
          <w:p>
            <w:pPr>
              <w:pStyle w:val="null5"/>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5"/>
              <w:jc w:val="left"/>
            </w:pPr>
            <w:r>
              <w:rPr>
                <w:rFonts w:ascii="仿宋_GB2312" w:hAnsi="仿宋_GB2312" w:cs="仿宋_GB2312" w:eastAsia="仿宋_GB2312"/>
              </w:rPr>
              <w:t>报价表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按要求提供投标函、自觉抵制政府采购领域商业贿赂行为承诺书、承诺函。</w:t>
            </w:r>
          </w:p>
        </w:tc>
        <w:tc>
          <w:tcPr>
            <w:tcW w:type="dxa" w:w="1661"/>
          </w:tcPr>
          <w:p>
            <w:pPr>
              <w:pStyle w:val="null5"/>
              <w:jc w:val="left"/>
            </w:pPr>
            <w:r>
              <w:rPr>
                <w:rFonts w:ascii="仿宋_GB2312" w:hAnsi="仿宋_GB2312" w:cs="仿宋_GB2312" w:eastAsia="仿宋_GB2312"/>
              </w:rPr>
              <w:t>承诺函、投标函、自觉抵制政府采购领域商业贿赂行为承诺书</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投标有效期</w:t>
            </w:r>
          </w:p>
        </w:tc>
        <w:tc>
          <w:tcPr>
            <w:tcW w:type="dxa" w:w="3322"/>
          </w:tcPr>
          <w:p>
            <w:pPr>
              <w:pStyle w:val="null5"/>
              <w:jc w:val="left"/>
            </w:pPr>
            <w:r>
              <w:rPr>
                <w:rFonts w:ascii="仿宋_GB2312" w:hAnsi="仿宋_GB2312" w:cs="仿宋_GB2312" w:eastAsia="仿宋_GB2312"/>
              </w:rPr>
              <w:t>投标有效期须满足投标人须知附表相应要求。</w:t>
            </w:r>
          </w:p>
        </w:tc>
        <w:tc>
          <w:tcPr>
            <w:tcW w:type="dxa" w:w="1661"/>
          </w:tcPr>
          <w:p>
            <w:pPr>
              <w:pStyle w:val="null5"/>
              <w:jc w:val="left"/>
            </w:pPr>
            <w:r>
              <w:rPr>
                <w:rFonts w:ascii="仿宋_GB2312" w:hAnsi="仿宋_GB2312" w:cs="仿宋_GB2312" w:eastAsia="仿宋_GB2312"/>
              </w:rPr>
              <w:t>投标函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实质性条款响应情况</w:t>
            </w:r>
          </w:p>
        </w:tc>
        <w:tc>
          <w:tcPr>
            <w:tcW w:type="dxa" w:w="3322"/>
          </w:tcPr>
          <w:p>
            <w:pPr>
              <w:pStyle w:val="null5"/>
              <w:jc w:val="left"/>
            </w:pPr>
            <w:r>
              <w:rPr>
                <w:rFonts w:ascii="仿宋_GB2312" w:hAnsi="仿宋_GB2312" w:cs="仿宋_GB2312" w:eastAsia="仿宋_GB2312"/>
              </w:rPr>
              <w:t>满足招标文件中带“★”号的实质性条款要求，满足招标文件中规定的其他实质性要求。</w:t>
            </w:r>
          </w:p>
        </w:tc>
        <w:tc>
          <w:tcPr>
            <w:tcW w:type="dxa" w:w="1661"/>
          </w:tcPr>
          <w:p>
            <w:pPr>
              <w:pStyle w:val="null5"/>
              <w:jc w:val="left"/>
            </w:pPr>
            <w:r>
              <w:rPr>
                <w:rFonts w:ascii="仿宋_GB2312" w:hAnsi="仿宋_GB2312" w:cs="仿宋_GB2312" w:eastAsia="仿宋_GB2312"/>
              </w:rPr>
              <w:t>技术偏离表、投标函、商务偏离表、其他材料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分包规定</w:t>
            </w:r>
          </w:p>
        </w:tc>
        <w:tc>
          <w:tcPr>
            <w:tcW w:type="dxa" w:w="3322"/>
          </w:tcPr>
          <w:p>
            <w:pPr>
              <w:pStyle w:val="null5"/>
              <w:jc w:val="left"/>
            </w:pPr>
            <w:r>
              <w:rPr>
                <w:rFonts w:ascii="仿宋_GB2312" w:hAnsi="仿宋_GB2312" w:cs="仿宋_GB2312" w:eastAsia="仿宋_GB2312"/>
              </w:rPr>
              <w:t>符合招标文件中有关分包规定</w:t>
            </w:r>
          </w:p>
        </w:tc>
        <w:tc>
          <w:tcPr>
            <w:tcW w:type="dxa" w:w="1661"/>
          </w:tcPr>
          <w:p>
            <w:pPr>
              <w:pStyle w:val="null5"/>
              <w:jc w:val="left"/>
            </w:pPr>
            <w:r>
              <w:rPr>
                <w:rFonts w:ascii="仿宋_GB2312" w:hAnsi="仿宋_GB2312" w:cs="仿宋_GB2312" w:eastAsia="仿宋_GB2312"/>
              </w:rPr>
              <w:t>报价表</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无附加条件</w:t>
            </w:r>
          </w:p>
        </w:tc>
        <w:tc>
          <w:tcPr>
            <w:tcW w:type="dxa" w:w="3322"/>
          </w:tcPr>
          <w:p>
            <w:pPr>
              <w:pStyle w:val="null5"/>
              <w:jc w:val="left"/>
            </w:pPr>
            <w:r>
              <w:rPr>
                <w:rFonts w:ascii="仿宋_GB2312" w:hAnsi="仿宋_GB2312" w:cs="仿宋_GB2312" w:eastAsia="仿宋_GB2312"/>
              </w:rPr>
              <w:t>投标文件不得含有采购人不能接受的附加条件</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无围标串标的情形</w:t>
            </w:r>
          </w:p>
        </w:tc>
        <w:tc>
          <w:tcPr>
            <w:tcW w:type="dxa" w:w="3322"/>
          </w:tcPr>
          <w:p>
            <w:pPr>
              <w:pStyle w:val="null5"/>
              <w:jc w:val="left"/>
            </w:pPr>
            <w:r>
              <w:rPr>
                <w:rFonts w:ascii="仿宋_GB2312" w:hAnsi="仿宋_GB2312" w:cs="仿宋_GB2312" w:eastAsia="仿宋_GB2312"/>
              </w:rPr>
              <w:t>评审现场未发现投标人涉嫌串标围标的情形</w:t>
            </w:r>
          </w:p>
        </w:tc>
        <w:tc>
          <w:tcPr>
            <w:tcW w:type="dxa" w:w="1661"/>
          </w:tcPr>
          <w:p>
            <w:pPr>
              <w:pStyle w:val="null5"/>
              <w:jc w:val="left"/>
            </w:pPr>
            <w:r>
              <w:rPr>
                <w:rFonts w:ascii="仿宋_GB2312" w:hAnsi="仿宋_GB2312" w:cs="仿宋_GB2312" w:eastAsia="仿宋_GB2312"/>
              </w:rPr>
              <w:t>其他材料、自觉抵制政府采购领域商业贿赂行为承诺书</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其他</w:t>
            </w:r>
          </w:p>
        </w:tc>
        <w:tc>
          <w:tcPr>
            <w:tcW w:type="dxa" w:w="3322"/>
          </w:tcPr>
          <w:p>
            <w:pPr>
              <w:pStyle w:val="null5"/>
              <w:jc w:val="left"/>
            </w:pPr>
            <w:r>
              <w:rPr>
                <w:rFonts w:ascii="仿宋_GB2312" w:hAnsi="仿宋_GB2312" w:cs="仿宋_GB2312" w:eastAsia="仿宋_GB2312"/>
              </w:rPr>
              <w:t>未出现招标文件规定的其他无效投标情形。</w:t>
            </w:r>
          </w:p>
        </w:tc>
        <w:tc>
          <w:tcPr>
            <w:tcW w:type="dxa" w:w="1661"/>
          </w:tcPr>
          <w:p>
            <w:pPr>
              <w:pStyle w:val="null5"/>
              <w:jc w:val="left"/>
            </w:pPr>
            <w:r>
              <w:rPr>
                <w:rFonts w:ascii="仿宋_GB2312" w:hAnsi="仿宋_GB2312" w:cs="仿宋_GB2312" w:eastAsia="仿宋_GB2312"/>
              </w:rPr>
              <w:t>其他材料</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式样、签署和盖章</w:t>
            </w:r>
          </w:p>
        </w:tc>
        <w:tc>
          <w:tcPr>
            <w:tcW w:type="dxa" w:w="3322"/>
          </w:tcPr>
          <w:p>
            <w:pPr>
              <w:pStyle w:val="null5"/>
              <w:jc w:val="left"/>
            </w:pPr>
            <w:r>
              <w:rPr>
                <w:rFonts w:ascii="仿宋_GB2312" w:hAnsi="仿宋_GB2312" w:cs="仿宋_GB2312" w:eastAsia="仿宋_GB2312"/>
              </w:rPr>
              <w:t>须符合招标文件的式样、签署和盖章要求且内容完整无缺漏。</w:t>
            </w:r>
          </w:p>
        </w:tc>
        <w:tc>
          <w:tcPr>
            <w:tcW w:type="dxa" w:w="1661"/>
          </w:tcPr>
          <w:p>
            <w:pPr>
              <w:pStyle w:val="null5"/>
              <w:jc w:val="left"/>
            </w:pPr>
            <w:r>
              <w:rPr>
                <w:rFonts w:ascii="仿宋_GB2312" w:hAnsi="仿宋_GB2312" w:cs="仿宋_GB2312" w:eastAsia="仿宋_GB2312"/>
              </w:rPr>
              <w:t>中小企业声明函（服务）、承诺函、技术偏离表、关于本国产品成本占比的承诺函（若有）、项目负责人简历表、自觉抵制政府采购领域商业贿赂行为承诺书、报价表、技术评审文件、拟投入项目人员一览表、具有独立承担民事责任的能力证明文件、业绩一览表、投标函、商务偏离表、其他材料、具有良好的商业信誉和健全的财务会计制度证明材料、残疾人福利性单位声明函、单位负责人不为同一人或者不存在直接控股、管理关系的书面声明、关于符合本国产品标准的声明函（若有）、供应商应提交的相关证明材料、无重大违法记录声明函、法定代表人资格证明书或法定代表人授权委托书、依法缴纳税收和社会保障资金的相关证明材料、监狱企业的证明文件、具备履行合同所必需设备和专业技术能力的声明函</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投标报价</w:t>
            </w:r>
          </w:p>
        </w:tc>
        <w:tc>
          <w:tcPr>
            <w:tcW w:type="dxa" w:w="3322"/>
          </w:tcPr>
          <w:p>
            <w:pPr>
              <w:pStyle w:val="null5"/>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5"/>
              <w:jc w:val="left"/>
            </w:pPr>
            <w:r>
              <w:rPr>
                <w:rFonts w:ascii="仿宋_GB2312" w:hAnsi="仿宋_GB2312" w:cs="仿宋_GB2312" w:eastAsia="仿宋_GB2312"/>
              </w:rPr>
              <w:t>报价表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按要求提供投标函、自觉抵制政府采购领域商业贿赂行为承诺书、承诺函。</w:t>
            </w:r>
          </w:p>
        </w:tc>
        <w:tc>
          <w:tcPr>
            <w:tcW w:type="dxa" w:w="1661"/>
          </w:tcPr>
          <w:p>
            <w:pPr>
              <w:pStyle w:val="null5"/>
              <w:jc w:val="left"/>
            </w:pPr>
            <w:r>
              <w:rPr>
                <w:rFonts w:ascii="仿宋_GB2312" w:hAnsi="仿宋_GB2312" w:cs="仿宋_GB2312" w:eastAsia="仿宋_GB2312"/>
              </w:rPr>
              <w:t>承诺函、投标函、自觉抵制政府采购领域商业贿赂行为承诺书</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投标有效期</w:t>
            </w:r>
          </w:p>
        </w:tc>
        <w:tc>
          <w:tcPr>
            <w:tcW w:type="dxa" w:w="3322"/>
          </w:tcPr>
          <w:p>
            <w:pPr>
              <w:pStyle w:val="null5"/>
              <w:jc w:val="left"/>
            </w:pPr>
            <w:r>
              <w:rPr>
                <w:rFonts w:ascii="仿宋_GB2312" w:hAnsi="仿宋_GB2312" w:cs="仿宋_GB2312" w:eastAsia="仿宋_GB2312"/>
              </w:rPr>
              <w:t>投标有效期须满足投标人须知附表相应要求。</w:t>
            </w:r>
          </w:p>
        </w:tc>
        <w:tc>
          <w:tcPr>
            <w:tcW w:type="dxa" w:w="1661"/>
          </w:tcPr>
          <w:p>
            <w:pPr>
              <w:pStyle w:val="null5"/>
              <w:jc w:val="left"/>
            </w:pPr>
            <w:r>
              <w:rPr>
                <w:rFonts w:ascii="仿宋_GB2312" w:hAnsi="仿宋_GB2312" w:cs="仿宋_GB2312" w:eastAsia="仿宋_GB2312"/>
              </w:rPr>
              <w:t>投标函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实质性条款响应情况</w:t>
            </w:r>
          </w:p>
        </w:tc>
        <w:tc>
          <w:tcPr>
            <w:tcW w:type="dxa" w:w="3322"/>
          </w:tcPr>
          <w:p>
            <w:pPr>
              <w:pStyle w:val="null5"/>
              <w:jc w:val="left"/>
            </w:pPr>
            <w:r>
              <w:rPr>
                <w:rFonts w:ascii="仿宋_GB2312" w:hAnsi="仿宋_GB2312" w:cs="仿宋_GB2312" w:eastAsia="仿宋_GB2312"/>
              </w:rPr>
              <w:t>满足招标文件中带“★”号的实质性条款要求，满足招标文件中规定的其他实质性要求。</w:t>
            </w:r>
          </w:p>
        </w:tc>
        <w:tc>
          <w:tcPr>
            <w:tcW w:type="dxa" w:w="1661"/>
          </w:tcPr>
          <w:p>
            <w:pPr>
              <w:pStyle w:val="null5"/>
              <w:jc w:val="left"/>
            </w:pPr>
            <w:r>
              <w:rPr>
                <w:rFonts w:ascii="仿宋_GB2312" w:hAnsi="仿宋_GB2312" w:cs="仿宋_GB2312" w:eastAsia="仿宋_GB2312"/>
              </w:rPr>
              <w:t>技术偏离表、投标函、商务偏离表、其他材料</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分包规定</w:t>
            </w:r>
          </w:p>
        </w:tc>
        <w:tc>
          <w:tcPr>
            <w:tcW w:type="dxa" w:w="3322"/>
          </w:tcPr>
          <w:p>
            <w:pPr>
              <w:pStyle w:val="null5"/>
              <w:jc w:val="left"/>
            </w:pPr>
            <w:r>
              <w:rPr>
                <w:rFonts w:ascii="仿宋_GB2312" w:hAnsi="仿宋_GB2312" w:cs="仿宋_GB2312" w:eastAsia="仿宋_GB2312"/>
              </w:rPr>
              <w:t>符合招标文件中有关分包规定</w:t>
            </w:r>
          </w:p>
        </w:tc>
        <w:tc>
          <w:tcPr>
            <w:tcW w:type="dxa" w:w="1661"/>
          </w:tcPr>
          <w:p>
            <w:pPr>
              <w:pStyle w:val="null5"/>
              <w:jc w:val="left"/>
            </w:pPr>
            <w:r>
              <w:rPr>
                <w:rFonts w:ascii="仿宋_GB2312" w:hAnsi="仿宋_GB2312" w:cs="仿宋_GB2312" w:eastAsia="仿宋_GB2312"/>
              </w:rPr>
              <w:t>报价表</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无附加条件</w:t>
            </w:r>
          </w:p>
        </w:tc>
        <w:tc>
          <w:tcPr>
            <w:tcW w:type="dxa" w:w="3322"/>
          </w:tcPr>
          <w:p>
            <w:pPr>
              <w:pStyle w:val="null5"/>
              <w:jc w:val="left"/>
            </w:pPr>
            <w:r>
              <w:rPr>
                <w:rFonts w:ascii="仿宋_GB2312" w:hAnsi="仿宋_GB2312" w:cs="仿宋_GB2312" w:eastAsia="仿宋_GB2312"/>
              </w:rPr>
              <w:t>投标文件不得含有采购人不能接受的附加条件</w:t>
            </w:r>
          </w:p>
        </w:tc>
        <w:tc>
          <w:tcPr>
            <w:tcW w:type="dxa" w:w="1661"/>
          </w:tcPr>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无围标串标的情形</w:t>
            </w:r>
          </w:p>
        </w:tc>
        <w:tc>
          <w:tcPr>
            <w:tcW w:type="dxa" w:w="3322"/>
          </w:tcPr>
          <w:p>
            <w:pPr>
              <w:pStyle w:val="null5"/>
              <w:jc w:val="left"/>
            </w:pPr>
            <w:r>
              <w:rPr>
                <w:rFonts w:ascii="仿宋_GB2312" w:hAnsi="仿宋_GB2312" w:cs="仿宋_GB2312" w:eastAsia="仿宋_GB2312"/>
              </w:rPr>
              <w:t>评审现场未发现投标人涉嫌串标围标的情形</w:t>
            </w:r>
          </w:p>
        </w:tc>
        <w:tc>
          <w:tcPr>
            <w:tcW w:type="dxa" w:w="1661"/>
          </w:tcPr>
          <w:p>
            <w:pPr>
              <w:pStyle w:val="null5"/>
              <w:jc w:val="left"/>
            </w:pPr>
            <w:r>
              <w:rPr>
                <w:rFonts w:ascii="仿宋_GB2312" w:hAnsi="仿宋_GB2312" w:cs="仿宋_GB2312" w:eastAsia="仿宋_GB2312"/>
              </w:rPr>
              <w:t>其他材料、自觉抵制政府采购领域商业贿赂行为承诺书</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其他</w:t>
            </w:r>
          </w:p>
        </w:tc>
        <w:tc>
          <w:tcPr>
            <w:tcW w:type="dxa" w:w="3322"/>
          </w:tcPr>
          <w:p>
            <w:pPr>
              <w:pStyle w:val="null5"/>
              <w:jc w:val="left"/>
            </w:pPr>
            <w:r>
              <w:rPr>
                <w:rFonts w:ascii="仿宋_GB2312" w:hAnsi="仿宋_GB2312" w:cs="仿宋_GB2312" w:eastAsia="仿宋_GB2312"/>
              </w:rPr>
              <w:t>未出现招标文件规定的其他无效投标情形。</w:t>
            </w:r>
          </w:p>
        </w:tc>
        <w:tc>
          <w:tcPr>
            <w:tcW w:type="dxa" w:w="1661"/>
          </w:tcPr>
          <w:p>
            <w:pPr>
              <w:pStyle w:val="null5"/>
              <w:jc w:val="left"/>
            </w:pPr>
            <w:r>
              <w:rPr>
                <w:rFonts w:ascii="仿宋_GB2312" w:hAnsi="仿宋_GB2312" w:cs="仿宋_GB2312" w:eastAsia="仿宋_GB2312"/>
              </w:rPr>
              <w:t>其他材料</w:t>
            </w:r>
          </w:p>
        </w:tc>
      </w:tr>
    </w:tbl>
    <w:p>
      <w:pPr>
        <w:pStyle w:val="null5"/>
        <w:ind w:firstLine="480"/>
        <w:jc w:val="both"/>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5"/>
        <w:ind w:firstLine="480"/>
        <w:jc w:val="both"/>
      </w:pPr>
      <w:r>
        <w:rPr>
          <w:rFonts w:ascii="仿宋_GB2312" w:hAnsi="仿宋_GB2312" w:cs="仿宋_GB2312" w:eastAsia="仿宋_GB2312"/>
        </w:rPr>
        <w:t>5.3.4.解释、澄清、说明的有关问题</w:t>
      </w:r>
    </w:p>
    <w:p>
      <w:pPr>
        <w:pStyle w:val="null5"/>
        <w:ind w:firstLine="480"/>
        <w:jc w:val="both"/>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5"/>
        <w:ind w:firstLine="480"/>
        <w:jc w:val="both"/>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5"/>
        <w:ind w:firstLine="480"/>
        <w:jc w:val="both"/>
      </w:pPr>
      <w:r>
        <w:rPr>
          <w:rFonts w:ascii="仿宋_GB2312" w:hAnsi="仿宋_GB2312" w:cs="仿宋_GB2312" w:eastAsia="仿宋_GB2312"/>
        </w:rPr>
        <w:t>三、投标文件报价出现前后不一致的，除招标文件另有规定外，按照下列规定修正：</w:t>
      </w:r>
    </w:p>
    <w:p>
      <w:pPr>
        <w:pStyle w:val="null5"/>
        <w:ind w:firstLine="480"/>
        <w:jc w:val="both"/>
      </w:pPr>
      <w:r>
        <w:rPr>
          <w:rFonts w:ascii="仿宋_GB2312" w:hAnsi="仿宋_GB2312" w:cs="仿宋_GB2312" w:eastAsia="仿宋_GB2312"/>
        </w:rPr>
        <w:t>（一）投标文件中报价表内容与投标文件中相应内容不一致的，以报价表为准；</w:t>
      </w:r>
    </w:p>
    <w:p>
      <w:pPr>
        <w:pStyle w:val="null5"/>
        <w:ind w:firstLine="480"/>
        <w:jc w:val="both"/>
      </w:pPr>
      <w:r>
        <w:rPr>
          <w:rFonts w:ascii="仿宋_GB2312" w:hAnsi="仿宋_GB2312" w:cs="仿宋_GB2312" w:eastAsia="仿宋_GB2312"/>
        </w:rPr>
        <w:t>（二）大写金额和小写金额不一致的，以大写金额为准；</w:t>
      </w:r>
    </w:p>
    <w:p>
      <w:pPr>
        <w:pStyle w:val="null5"/>
        <w:ind w:firstLine="480"/>
        <w:jc w:val="both"/>
      </w:pPr>
      <w:r>
        <w:rPr>
          <w:rFonts w:ascii="仿宋_GB2312" w:hAnsi="仿宋_GB2312" w:cs="仿宋_GB2312" w:eastAsia="仿宋_GB2312"/>
        </w:rPr>
        <w:t>（三）单价金额小数点或者百分比有明显错位的，以报价表总价为准，并修改单价；</w:t>
      </w:r>
    </w:p>
    <w:p>
      <w:pPr>
        <w:pStyle w:val="null5"/>
        <w:ind w:firstLine="480"/>
        <w:jc w:val="both"/>
      </w:pPr>
      <w:r>
        <w:rPr>
          <w:rFonts w:ascii="仿宋_GB2312" w:hAnsi="仿宋_GB2312" w:cs="仿宋_GB2312" w:eastAsia="仿宋_GB2312"/>
        </w:rPr>
        <w:t>（四）总价金额与按单价汇总金额不一致的，以单价金额计算结果为准。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5"/>
        <w:ind w:firstLine="480"/>
        <w:jc w:val="both"/>
      </w:pPr>
      <w:r>
        <w:rPr>
          <w:rFonts w:ascii="仿宋_GB2312" w:hAnsi="仿宋_GB2312" w:cs="仿宋_GB2312" w:eastAsia="仿宋_GB2312"/>
        </w:rPr>
        <w:t>四、对不同语言文本投标文件的解释发生异议的，以中文文本为准。</w:t>
      </w:r>
    </w:p>
    <w:p>
      <w:pPr>
        <w:pStyle w:val="null5"/>
        <w:ind w:firstLine="480"/>
        <w:jc w:val="both"/>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5"/>
        <w:ind w:firstLine="480"/>
        <w:jc w:val="both"/>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5"/>
        <w:ind w:firstLine="480"/>
        <w:jc w:val="both"/>
      </w:pPr>
      <w:r>
        <w:rPr>
          <w:rFonts w:ascii="仿宋_GB2312" w:hAnsi="仿宋_GB2312" w:cs="仿宋_GB2312" w:eastAsia="仿宋_GB2312"/>
        </w:rPr>
        <w:t>5.3.5.比较与评价</w:t>
      </w:r>
    </w:p>
    <w:p>
      <w:pPr>
        <w:pStyle w:val="null5"/>
        <w:ind w:firstLine="480"/>
        <w:jc w:val="both"/>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5"/>
        <w:ind w:firstLine="480"/>
        <w:jc w:val="both"/>
      </w:pPr>
      <w:r>
        <w:rPr>
          <w:rFonts w:ascii="仿宋_GB2312" w:hAnsi="仿宋_GB2312" w:cs="仿宋_GB2312" w:eastAsia="仿宋_GB2312"/>
        </w:rPr>
        <w:t>5.3.6.评标委员会复核</w:t>
      </w:r>
    </w:p>
    <w:p>
      <w:pPr>
        <w:pStyle w:val="null5"/>
        <w:ind w:firstLine="480"/>
        <w:jc w:val="both"/>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5"/>
        <w:ind w:firstLine="480"/>
        <w:jc w:val="both"/>
      </w:pPr>
      <w:r>
        <w:rPr>
          <w:rFonts w:ascii="仿宋_GB2312" w:hAnsi="仿宋_GB2312" w:cs="仿宋_GB2312" w:eastAsia="仿宋_GB2312"/>
        </w:rPr>
        <w:t>5.3.7.代理机构现场复核评审结果</w:t>
      </w:r>
    </w:p>
    <w:p>
      <w:pPr>
        <w:pStyle w:val="null5"/>
        <w:ind w:firstLine="480"/>
        <w:jc w:val="both"/>
      </w:pPr>
      <w:r>
        <w:rPr>
          <w:rFonts w:ascii="仿宋_GB2312" w:hAnsi="仿宋_GB2312" w:cs="仿宋_GB2312" w:eastAsia="仿宋_GB2312"/>
        </w:rPr>
        <w:t>一、评分汇总结束后，评标委员会拟出具评标报告前，代理机构应当组织 2 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5"/>
        <w:ind w:firstLine="480"/>
        <w:jc w:val="both"/>
      </w:pPr>
      <w:r>
        <w:rPr>
          <w:rFonts w:ascii="仿宋_GB2312" w:hAnsi="仿宋_GB2312" w:cs="仿宋_GB2312" w:eastAsia="仿宋_GB2312"/>
        </w:rPr>
        <w:t>（一）分值汇总计算错误的；</w:t>
      </w:r>
    </w:p>
    <w:p>
      <w:pPr>
        <w:pStyle w:val="null5"/>
        <w:ind w:firstLine="480"/>
        <w:jc w:val="both"/>
      </w:pPr>
      <w:r>
        <w:rPr>
          <w:rFonts w:ascii="仿宋_GB2312" w:hAnsi="仿宋_GB2312" w:cs="仿宋_GB2312" w:eastAsia="仿宋_GB2312"/>
        </w:rPr>
        <w:t>（二）分项评分超出评分标准范围的；</w:t>
      </w:r>
    </w:p>
    <w:p>
      <w:pPr>
        <w:pStyle w:val="null5"/>
        <w:ind w:firstLine="480"/>
        <w:jc w:val="both"/>
      </w:pPr>
      <w:r>
        <w:rPr>
          <w:rFonts w:ascii="仿宋_GB2312" w:hAnsi="仿宋_GB2312" w:cs="仿宋_GB2312" w:eastAsia="仿宋_GB2312"/>
        </w:rPr>
        <w:t>（三）评标委员会成员对客观评审因素评分不一致的；</w:t>
      </w:r>
    </w:p>
    <w:p>
      <w:pPr>
        <w:pStyle w:val="null5"/>
        <w:ind w:firstLine="480"/>
        <w:jc w:val="both"/>
      </w:pPr>
      <w:r>
        <w:rPr>
          <w:rFonts w:ascii="仿宋_GB2312" w:hAnsi="仿宋_GB2312" w:cs="仿宋_GB2312" w:eastAsia="仿宋_GB2312"/>
        </w:rPr>
        <w:t>（四）经评标委员会认定评分畸高、畸低的。</w:t>
      </w:r>
    </w:p>
    <w:p>
      <w:pPr>
        <w:pStyle w:val="null5"/>
        <w:ind w:firstLine="480"/>
        <w:jc w:val="both"/>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三、代理机构复核过程中，评标委员会成员不得离开评审现场。</w:t>
      </w:r>
    </w:p>
    <w:p>
      <w:pPr>
        <w:pStyle w:val="null5"/>
        <w:ind w:firstLine="480"/>
        <w:jc w:val="both"/>
      </w:pPr>
      <w:r>
        <w:rPr>
          <w:rFonts w:ascii="仿宋_GB2312" w:hAnsi="仿宋_GB2312" w:cs="仿宋_GB2312" w:eastAsia="仿宋_GB2312"/>
        </w:rPr>
        <w:t>5.3.8.确定中标候选人名单</w:t>
      </w:r>
    </w:p>
    <w:p>
      <w:pPr>
        <w:pStyle w:val="null5"/>
        <w:ind w:firstLine="480"/>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p>
      <w:pPr>
        <w:pStyle w:val="null5"/>
        <w:ind w:firstLine="480"/>
        <w:jc w:val="both"/>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5"/>
        <w:ind w:firstLine="480"/>
        <w:jc w:val="both"/>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w:t>
      </w:r>
    </w:p>
    <w:p>
      <w:pPr>
        <w:pStyle w:val="null5"/>
        <w:ind w:firstLine="480"/>
        <w:jc w:val="both"/>
      </w:pPr>
      <w:r>
        <w:rPr>
          <w:rFonts w:ascii="仿宋_GB2312" w:hAnsi="仿宋_GB2312" w:cs="仿宋_GB2312" w:eastAsia="仿宋_GB2312"/>
        </w:rPr>
        <w:t>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5"/>
        <w:ind w:firstLine="480"/>
        <w:jc w:val="both"/>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5"/>
        <w:ind w:firstLine="480"/>
        <w:jc w:val="both"/>
      </w:pPr>
      <w:r>
        <w:rPr>
          <w:rFonts w:ascii="仿宋_GB2312" w:hAnsi="仿宋_GB2312" w:cs="仿宋_GB2312" w:eastAsia="仿宋_GB2312"/>
        </w:rPr>
        <w:t>5.3.9.出具评标报告</w:t>
      </w:r>
    </w:p>
    <w:p>
      <w:pPr>
        <w:pStyle w:val="null5"/>
        <w:ind w:firstLine="480"/>
        <w:jc w:val="both"/>
      </w:pPr>
      <w:r>
        <w:rPr>
          <w:rFonts w:ascii="仿宋_GB2312" w:hAnsi="仿宋_GB2312" w:cs="仿宋_GB2312" w:eastAsia="仿宋_GB2312"/>
        </w:rPr>
        <w:t>评标报告是评标委员会根据全体评标成员签署的评标记录和评标结果编写的报告，其主要内容包括：</w:t>
      </w:r>
    </w:p>
    <w:p>
      <w:pPr>
        <w:pStyle w:val="null5"/>
        <w:ind w:firstLine="480"/>
        <w:jc w:val="both"/>
      </w:pPr>
      <w:r>
        <w:rPr>
          <w:rFonts w:ascii="仿宋_GB2312" w:hAnsi="仿宋_GB2312" w:cs="仿宋_GB2312" w:eastAsia="仿宋_GB2312"/>
        </w:rPr>
        <w:t>一、招标公告刊登的媒体名称、开标日期和地点；</w:t>
      </w:r>
    </w:p>
    <w:p>
      <w:pPr>
        <w:pStyle w:val="null5"/>
        <w:ind w:firstLine="480"/>
        <w:jc w:val="both"/>
      </w:pPr>
      <w:r>
        <w:rPr>
          <w:rFonts w:ascii="仿宋_GB2312" w:hAnsi="仿宋_GB2312" w:cs="仿宋_GB2312" w:eastAsia="仿宋_GB2312"/>
        </w:rPr>
        <w:t>二、投标人名单和评标委员会成员名单；</w:t>
      </w:r>
    </w:p>
    <w:p>
      <w:pPr>
        <w:pStyle w:val="null5"/>
        <w:ind w:firstLine="480"/>
        <w:jc w:val="both"/>
      </w:pPr>
      <w:r>
        <w:rPr>
          <w:rFonts w:ascii="仿宋_GB2312" w:hAnsi="仿宋_GB2312" w:cs="仿宋_GB2312" w:eastAsia="仿宋_GB2312"/>
        </w:rPr>
        <w:t>三、评标方法和标准；</w:t>
      </w:r>
    </w:p>
    <w:p>
      <w:pPr>
        <w:pStyle w:val="null5"/>
        <w:ind w:firstLine="480"/>
        <w:jc w:val="both"/>
      </w:pPr>
      <w:r>
        <w:rPr>
          <w:rFonts w:ascii="仿宋_GB2312" w:hAnsi="仿宋_GB2312" w:cs="仿宋_GB2312" w:eastAsia="仿宋_GB2312"/>
        </w:rPr>
        <w:t>四、开标记录和评标情况及说明，包括投标无效投标人名单及原因；</w:t>
      </w:r>
    </w:p>
    <w:p>
      <w:pPr>
        <w:pStyle w:val="null5"/>
        <w:ind w:firstLine="480"/>
        <w:jc w:val="both"/>
      </w:pPr>
      <w:r>
        <w:rPr>
          <w:rFonts w:ascii="仿宋_GB2312" w:hAnsi="仿宋_GB2312" w:cs="仿宋_GB2312" w:eastAsia="仿宋_GB2312"/>
        </w:rPr>
        <w:t>五、评标结果，确定的中标候选人名单或者经采购人委托直接确定的中标人；</w:t>
      </w:r>
    </w:p>
    <w:p>
      <w:pPr>
        <w:pStyle w:val="null5"/>
        <w:ind w:firstLine="480"/>
        <w:jc w:val="both"/>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5"/>
        <w:ind w:firstLine="480"/>
        <w:jc w:val="both"/>
      </w:pPr>
      <w:r>
        <w:rPr>
          <w:rFonts w:ascii="仿宋_GB2312" w:hAnsi="仿宋_GB2312" w:cs="仿宋_GB2312" w:eastAsia="仿宋_GB2312"/>
        </w:rPr>
        <w:t>七、报价最高的投标人为中标候选人的，评标委员会应当对其报价的合理性予以特别说明。</w:t>
      </w:r>
    </w:p>
    <w:p>
      <w:pPr>
        <w:pStyle w:val="null5"/>
        <w:ind w:firstLine="480"/>
        <w:jc w:val="both"/>
      </w:pPr>
      <w:r>
        <w:rPr>
          <w:rFonts w:ascii="仿宋_GB2312" w:hAnsi="仿宋_GB2312" w:cs="仿宋_GB2312" w:eastAsia="仿宋_GB2312"/>
        </w:rPr>
        <w:t>评标委员会成员应当在评标报告中签字或加盖电子印章确认，对评标过程和结果有不同意见的，应当在评标报告中写明并说明理由。 签字但未写明不同意见或者未说明理由的，视同无意见。拒不签字或加盖电子印章又未另行说明其不同意见和理由的，视同同意评标结果。</w:t>
      </w:r>
    </w:p>
    <w:p>
      <w:pPr>
        <w:pStyle w:val="null5"/>
        <w:ind w:firstLine="480"/>
        <w:jc w:val="both"/>
      </w:pPr>
      <w:r>
        <w:rPr>
          <w:rFonts w:ascii="仿宋_GB2312" w:hAnsi="仿宋_GB2312" w:cs="仿宋_GB2312" w:eastAsia="仿宋_GB2312"/>
        </w:rPr>
        <w:t>5.3.10.评标争议处理规则</w:t>
      </w:r>
    </w:p>
    <w:p>
      <w:pPr>
        <w:pStyle w:val="null5"/>
        <w:ind w:firstLine="480"/>
        <w:jc w:val="both"/>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5.4.评标方法、细则及标准</w:t>
      </w:r>
    </w:p>
    <w:p>
      <w:pPr>
        <w:pStyle w:val="null5"/>
        <w:ind w:firstLine="480"/>
        <w:jc w:val="both"/>
      </w:pPr>
      <w:r>
        <w:rPr>
          <w:rFonts w:ascii="仿宋_GB2312" w:hAnsi="仿宋_GB2312" w:cs="仿宋_GB2312" w:eastAsia="仿宋_GB2312"/>
        </w:rPr>
        <w:t>5.4.1.评标方法</w:t>
      </w:r>
    </w:p>
    <w:p>
      <w:pPr>
        <w:pStyle w:val="null5"/>
        <w:ind w:firstLine="480"/>
        <w:jc w:val="both"/>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5"/>
        <w:ind w:firstLine="480"/>
        <w:jc w:val="both"/>
      </w:pPr>
      <w:r>
        <w:rPr>
          <w:rFonts w:ascii="仿宋_GB2312" w:hAnsi="仿宋_GB2312" w:cs="仿宋_GB2312" w:eastAsia="仿宋_GB2312"/>
        </w:rPr>
        <w:t>投标报价得分=（评标基准价／投标报价）×100</w:t>
      </w:r>
    </w:p>
    <w:p>
      <w:pPr>
        <w:pStyle w:val="null5"/>
        <w:ind w:firstLine="480"/>
        <w:jc w:val="both"/>
      </w:pPr>
      <w:r>
        <w:rPr>
          <w:rFonts w:ascii="仿宋_GB2312" w:hAnsi="仿宋_GB2312" w:cs="仿宋_GB2312" w:eastAsia="仿宋_GB2312"/>
        </w:rPr>
        <w:t>评标总得分＝F1×A1＋F2×A2+ … … +Fn×An</w:t>
      </w:r>
    </w:p>
    <w:p>
      <w:pPr>
        <w:pStyle w:val="null5"/>
        <w:ind w:firstLine="480"/>
        <w:jc w:val="both"/>
      </w:pPr>
      <w:r>
        <w:rPr>
          <w:rFonts w:ascii="仿宋_GB2312" w:hAnsi="仿宋_GB2312" w:cs="仿宋_GB2312" w:eastAsia="仿宋_GB2312"/>
        </w:rPr>
        <w:t>F1、F2……Fn分别为各项评审因素的得分；</w:t>
      </w:r>
    </w:p>
    <w:p>
      <w:pPr>
        <w:pStyle w:val="null5"/>
        <w:ind w:firstLine="480"/>
        <w:jc w:val="both"/>
      </w:pPr>
      <w:r>
        <w:rPr>
          <w:rFonts w:ascii="仿宋_GB2312" w:hAnsi="仿宋_GB2312" w:cs="仿宋_GB2312" w:eastAsia="仿宋_GB2312"/>
        </w:rPr>
        <w:t>A1、A2……An分别为各项评审因素所占的权重（A1＋A2+ … … +An＝1）。</w:t>
      </w:r>
    </w:p>
    <w:p>
      <w:pPr>
        <w:pStyle w:val="null5"/>
        <w:ind w:firstLine="480"/>
        <w:jc w:val="both"/>
      </w:pPr>
      <w:r>
        <w:rPr>
          <w:rFonts w:ascii="仿宋_GB2312" w:hAnsi="仿宋_GB2312" w:cs="仿宋_GB2312" w:eastAsia="仿宋_GB2312"/>
        </w:rPr>
        <w:t>评标过程中，不得去掉报价中的最高报价和最低报价。</w:t>
      </w:r>
    </w:p>
    <w:p>
      <w:pPr>
        <w:pStyle w:val="null5"/>
        <w:ind w:firstLine="480"/>
        <w:jc w:val="both"/>
      </w:pPr>
      <w:r>
        <w:rPr>
          <w:rFonts w:ascii="仿宋_GB2312" w:hAnsi="仿宋_GB2312" w:cs="仿宋_GB2312" w:eastAsia="仿宋_GB2312"/>
        </w:rPr>
        <w:t>说明：</w:t>
      </w:r>
    </w:p>
    <w:p>
      <w:pPr>
        <w:pStyle w:val="null5"/>
        <w:ind w:firstLine="480"/>
        <w:jc w:val="both"/>
      </w:pPr>
      <w:r>
        <w:rPr>
          <w:rFonts w:ascii="仿宋_GB2312" w:hAnsi="仿宋_GB2312" w:cs="仿宋_GB2312" w:eastAsia="仿宋_GB2312"/>
        </w:rPr>
        <w:t>1.评分的取值按四舍五入法，保留小数点后两位；</w:t>
      </w:r>
    </w:p>
    <w:p>
      <w:pPr>
        <w:pStyle w:val="null5"/>
        <w:ind w:firstLine="480"/>
        <w:jc w:val="both"/>
      </w:pPr>
      <w:r>
        <w:rPr>
          <w:rFonts w:ascii="仿宋_GB2312" w:hAnsi="仿宋_GB2312" w:cs="仿宋_GB2312" w:eastAsia="仿宋_GB2312"/>
        </w:rPr>
        <w:t>2.评分标准中要求提供的证明材料须清晰可辨。</w:t>
      </w:r>
    </w:p>
    <w:p>
      <w:pPr>
        <w:pStyle w:val="null5"/>
        <w:ind w:firstLine="480"/>
        <w:jc w:val="both"/>
      </w:pPr>
      <w:r>
        <w:rPr>
          <w:rFonts w:ascii="仿宋_GB2312" w:hAnsi="仿宋_GB2312" w:cs="仿宋_GB2312" w:eastAsia="仿宋_GB2312"/>
        </w:rPr>
        <w:t>因落实政府采购政策进行价格调整的，以调整后的价格计算评标基准价和投标报价。</w:t>
      </w:r>
    </w:p>
    <w:p>
      <w:pPr>
        <w:pStyle w:val="null5"/>
        <w:ind w:firstLine="480"/>
        <w:jc w:val="both"/>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5"/>
        <w:ind w:firstLine="480"/>
        <w:jc w:val="both"/>
      </w:pPr>
      <w:r>
        <w:rPr>
          <w:rFonts w:ascii="仿宋_GB2312" w:hAnsi="仿宋_GB2312" w:cs="仿宋_GB2312" w:eastAsia="仿宋_GB2312"/>
        </w:rPr>
        <w:t>5.4.2.评标细则及标准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技术部分84.00分</w:t>
            </w:r>
          </w:p>
          <w:p>
            <w:pPr>
              <w:pStyle w:val="null5"/>
              <w:jc w:val="left"/>
            </w:pPr>
            <w:r>
              <w:rPr>
                <w:rFonts w:ascii="仿宋_GB2312" w:hAnsi="仿宋_GB2312" w:cs="仿宋_GB2312" w:eastAsia="仿宋_GB2312"/>
              </w:rPr>
              <w:t>商务部分6.00分</w:t>
            </w:r>
          </w:p>
          <w:p>
            <w:pPr>
              <w:pStyle w:val="null5"/>
              <w:jc w:val="left"/>
            </w:pPr>
            <w:r>
              <w:rPr>
                <w:rFonts w:ascii="仿宋_GB2312" w:hAnsi="仿宋_GB2312" w:cs="仿宋_GB2312" w:eastAsia="仿宋_GB2312"/>
              </w:rPr>
              <w:t>报价得分10.00分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伙食结构与健康饮⻝⽅案</w:t>
            </w:r>
          </w:p>
        </w:tc>
        <w:tc>
          <w:tcPr>
            <w:tcW w:type="dxa" w:w="2575"/>
          </w:tcPr>
          <w:p>
            <w:pPr>
              <w:pStyle w:val="null5"/>
              <w:jc w:val="left"/>
            </w:pPr>
            <w:r>
              <w:rPr>
                <w:rFonts w:ascii="仿宋_GB2312" w:hAnsi="仿宋_GB2312" w:cs="仿宋_GB2312" w:eastAsia="仿宋_GB2312"/>
              </w:rPr>
              <w:t>根据投标人针对本项目提供的伙食结构与健康饮⻝⽅案进行综合评审，包括但不限于（1）伙食结构、（2）健康饮⻝⽅案两方面内容。每方面8分，本项满分16分。食堂菜品丰富，搭配均衡口味多元化、膳⻝营养健康、营养健康知识宣传方案完善、带量⻝谱推⼴应⽤规划科学的得8分，各方面内容每有一处不合理或不完善的瑕疵处的扣1分，扣完为止。未提供相关内容的不得分。</w:t>
            </w:r>
          </w:p>
        </w:tc>
        <w:tc>
          <w:tcPr>
            <w:tcW w:type="dxa" w:w="831"/>
          </w:tcPr>
          <w:p>
            <w:pPr>
              <w:pStyle w:val="null5"/>
              <w:jc w:val="center"/>
            </w:pPr>
            <w:r>
              <w:rPr>
                <w:rFonts w:ascii="仿宋_GB2312" w:hAnsi="仿宋_GB2312" w:cs="仿宋_GB2312" w:eastAsia="仿宋_GB2312"/>
              </w:rPr>
              <w:t>16.0000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tc>
      </w:tr>
      <w:tr>
        <w:tc>
          <w:tcPr>
            <w:tcW w:type="dxa" w:w="831"/>
            <w:vMerge/>
          </w:tcPr>
          <w:p/>
        </w:tc>
        <w:tc>
          <w:tcPr>
            <w:tcW w:type="dxa" w:w="1661"/>
          </w:tcPr>
          <w:p>
            <w:pPr>
              <w:pStyle w:val="null5"/>
              <w:jc w:val="left"/>
            </w:pPr>
            <w:r>
              <w:rPr>
                <w:rFonts w:ascii="仿宋_GB2312" w:hAnsi="仿宋_GB2312" w:cs="仿宋_GB2312" w:eastAsia="仿宋_GB2312"/>
              </w:rPr>
              <w:t>食堂安全与卫生管理方案</w:t>
            </w:r>
          </w:p>
        </w:tc>
        <w:tc>
          <w:tcPr>
            <w:tcW w:type="dxa" w:w="2575"/>
          </w:tcPr>
          <w:p>
            <w:pPr>
              <w:pStyle w:val="null5"/>
              <w:jc w:val="left"/>
            </w:pPr>
            <w:r>
              <w:rPr>
                <w:rFonts w:ascii="仿宋_GB2312" w:hAnsi="仿宋_GB2312" w:cs="仿宋_GB2312" w:eastAsia="仿宋_GB2312"/>
              </w:rPr>
              <w:t>根据投标人针对本项目提供的食堂安全与卫生管理方案进行综合评审，包括但不限于（1）⻝品安全整体架构及管理制度、（2）⻝品安全全流程管控措施、（3）餐具清洗消毒流程、（4）⻝品留样方案、（5）⻝品添加剂使⽤管理及有害⽣物防治五方面内容，每方面4分，本项满分20分。各方面内容详实完善、可行性高、针对性强、贴合并满足项目需要的得满分4分，每有一处不合理或不完善的瑕疵处的扣1分，扣完为止。未提供相关内容的不得分。</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tc>
      </w:tr>
      <w:tr>
        <w:tc>
          <w:tcPr>
            <w:tcW w:type="dxa" w:w="831"/>
            <w:vMerge/>
          </w:tcPr>
          <w:p/>
        </w:tc>
        <w:tc>
          <w:tcPr>
            <w:tcW w:type="dxa" w:w="1661"/>
          </w:tcPr>
          <w:p>
            <w:pPr>
              <w:pStyle w:val="null5"/>
              <w:jc w:val="left"/>
            </w:pPr>
            <w:r>
              <w:rPr>
                <w:rFonts w:ascii="仿宋_GB2312" w:hAnsi="仿宋_GB2312" w:cs="仿宋_GB2312" w:eastAsia="仿宋_GB2312"/>
              </w:rPr>
              <w:t>环境提升⽅案</w:t>
            </w:r>
          </w:p>
        </w:tc>
        <w:tc>
          <w:tcPr>
            <w:tcW w:type="dxa" w:w="2575"/>
          </w:tcPr>
          <w:p>
            <w:pPr>
              <w:pStyle w:val="null5"/>
              <w:jc w:val="left"/>
            </w:pPr>
            <w:r>
              <w:rPr>
                <w:rFonts w:ascii="仿宋_GB2312" w:hAnsi="仿宋_GB2312" w:cs="仿宋_GB2312" w:eastAsia="仿宋_GB2312"/>
              </w:rPr>
              <w:t>根据投标⼈针对本项目提供的环境提升⽅案进⾏综合评审，包括但不限于（1）⻝堂服务育⼈环境提升方案、（2）⽂化特⾊建设⽅案两方面内容，每方面4分，本项满分8分。各方面内容详实完善、可行性高、针对性强、贴合并满足项目需要的得满分4分，每有一处不合理或不完善的瑕疵处的扣1分，扣完为止。未提供相关内容的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tc>
      </w:tr>
      <w:tr>
        <w:tc>
          <w:tcPr>
            <w:tcW w:type="dxa" w:w="831"/>
            <w:vMerge/>
          </w:tcPr>
          <w:p/>
        </w:tc>
        <w:tc>
          <w:tcPr>
            <w:tcW w:type="dxa" w:w="1661"/>
          </w:tcPr>
          <w:p>
            <w:pPr>
              <w:pStyle w:val="null5"/>
              <w:jc w:val="left"/>
            </w:pPr>
            <w:r>
              <w:rPr>
                <w:rFonts w:ascii="仿宋_GB2312" w:hAnsi="仿宋_GB2312" w:cs="仿宋_GB2312" w:eastAsia="仿宋_GB2312"/>
              </w:rPr>
              <w:t>管理制度</w:t>
            </w:r>
          </w:p>
        </w:tc>
        <w:tc>
          <w:tcPr>
            <w:tcW w:type="dxa" w:w="2575"/>
          </w:tcPr>
          <w:p>
            <w:pPr>
              <w:pStyle w:val="null5"/>
              <w:jc w:val="left"/>
            </w:pPr>
            <w:r>
              <w:rPr>
                <w:rFonts w:ascii="仿宋_GB2312" w:hAnsi="仿宋_GB2312" w:cs="仿宋_GB2312" w:eastAsia="仿宋_GB2312"/>
              </w:rPr>
              <w:t>根据投标人提供的内部岗位责任制度、监督检查制度、消防安全制度、员工考核培训制度、档案管理制度等进行综合评审。部门职责明确，工作流程完整、制度科学、全面的得满分6分，每有一处不合理或不完善的瑕疵处的扣1分，扣完为止。未提供相关内容的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tc>
      </w:tr>
      <w:tr>
        <w:tc>
          <w:tcPr>
            <w:tcW w:type="dxa" w:w="831"/>
            <w:vMerge/>
          </w:tcPr>
          <w:p/>
        </w:tc>
        <w:tc>
          <w:tcPr>
            <w:tcW w:type="dxa" w:w="1661"/>
          </w:tcPr>
          <w:p>
            <w:pPr>
              <w:pStyle w:val="null5"/>
              <w:jc w:val="left"/>
            </w:pPr>
            <w:r>
              <w:rPr>
                <w:rFonts w:ascii="仿宋_GB2312" w:hAnsi="仿宋_GB2312" w:cs="仿宋_GB2312" w:eastAsia="仿宋_GB2312"/>
              </w:rPr>
              <w:t>应急预案</w:t>
            </w:r>
          </w:p>
        </w:tc>
        <w:tc>
          <w:tcPr>
            <w:tcW w:type="dxa" w:w="2575"/>
          </w:tcPr>
          <w:p>
            <w:pPr>
              <w:pStyle w:val="null5"/>
              <w:jc w:val="left"/>
            </w:pPr>
            <w:r>
              <w:rPr>
                <w:rFonts w:ascii="仿宋_GB2312" w:hAnsi="仿宋_GB2312" w:cs="仿宋_GB2312" w:eastAsia="仿宋_GB2312"/>
              </w:rPr>
              <w:t>根据投标人针对本项目提供的突发事件的应急处理能力及相关措施等进行综合评审，内容详实完善、可行性高、针对性强、贴合并满足项目需要的得满分6分，每有一处不合理或不完善的瑕疵处的扣1分，扣完为止。未提供相关内容的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tc>
      </w:tr>
      <w:tr>
        <w:tc>
          <w:tcPr>
            <w:tcW w:type="dxa" w:w="831"/>
            <w:vMerge/>
          </w:tcPr>
          <w:p/>
        </w:tc>
        <w:tc>
          <w:tcPr>
            <w:tcW w:type="dxa" w:w="1661"/>
          </w:tcPr>
          <w:p>
            <w:pPr>
              <w:pStyle w:val="null5"/>
              <w:jc w:val="left"/>
            </w:pPr>
            <w:r>
              <w:rPr>
                <w:rFonts w:ascii="仿宋_GB2312" w:hAnsi="仿宋_GB2312" w:cs="仿宋_GB2312" w:eastAsia="仿宋_GB2312"/>
              </w:rPr>
              <w:t>接管和进驻方案</w:t>
            </w:r>
          </w:p>
        </w:tc>
        <w:tc>
          <w:tcPr>
            <w:tcW w:type="dxa" w:w="2575"/>
          </w:tcPr>
          <w:p>
            <w:pPr>
              <w:pStyle w:val="null5"/>
              <w:jc w:val="left"/>
            </w:pPr>
            <w:r>
              <w:rPr>
                <w:rFonts w:ascii="仿宋_GB2312" w:hAnsi="仿宋_GB2312" w:cs="仿宋_GB2312" w:eastAsia="仿宋_GB2312"/>
              </w:rPr>
              <w:t>根据投标人针对本项目提供的接管和进驻方案进行综合评审，内容详实完善、可行性高、针对性强、贴合并满足项目需要的得满分3分，每有一处不合理或不完善的瑕疵处的扣1分，扣完为止。未提供相关内容的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tc>
      </w:tr>
      <w:tr>
        <w:tc>
          <w:tcPr>
            <w:tcW w:type="dxa" w:w="831"/>
            <w:vMerge/>
          </w:tcPr>
          <w:p/>
        </w:tc>
        <w:tc>
          <w:tcPr>
            <w:tcW w:type="dxa" w:w="1661"/>
          </w:tcPr>
          <w:p>
            <w:pPr>
              <w:pStyle w:val="null5"/>
              <w:jc w:val="left"/>
            </w:pPr>
            <w:r>
              <w:rPr>
                <w:rFonts w:ascii="仿宋_GB2312" w:hAnsi="仿宋_GB2312" w:cs="仿宋_GB2312" w:eastAsia="仿宋_GB2312"/>
              </w:rPr>
              <w:t>管理团队主要人员</w:t>
            </w:r>
          </w:p>
        </w:tc>
        <w:tc>
          <w:tcPr>
            <w:tcW w:type="dxa" w:w="2575"/>
          </w:tcPr>
          <w:p>
            <w:pPr>
              <w:pStyle w:val="null5"/>
              <w:jc w:val="left"/>
            </w:pPr>
            <w:r>
              <w:rPr>
                <w:rFonts w:ascii="仿宋_GB2312" w:hAnsi="仿宋_GB2312" w:cs="仿宋_GB2312" w:eastAsia="仿宋_GB2312"/>
              </w:rPr>
              <w:t>（1）项目负责人具有5年及以上同类项目经验的，得5分，具有3（含）-5（不含）年同类项目经验的得3分，其余不得分。提供相关证明材料，否则不得分。 （2）厨师⻓具有技师及以上厨师职业资格证书的得3分，否则不得分。提供证书扫描件，不提供不得分；具有5年及以上同类项目经验的，得2分，具有3（含）-5（不含）年同类项目经验的得1分，其余不得分。提供相关证明材料，否则不得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p>
            <w:pPr>
              <w:pStyle w:val="null5"/>
              <w:jc w:val="left"/>
            </w:pPr>
            <w:r>
              <w:rPr>
                <w:rFonts w:ascii="仿宋_GB2312" w:hAnsi="仿宋_GB2312" w:cs="仿宋_GB2312" w:eastAsia="仿宋_GB2312"/>
              </w:rPr>
              <w:t>项目负责人简历表</w:t>
            </w:r>
          </w:p>
          <w:p>
            <w:pPr>
              <w:pStyle w:val="null5"/>
              <w:jc w:val="left"/>
            </w:pPr>
            <w:r>
              <w:rPr>
                <w:rFonts w:ascii="仿宋_GB2312" w:hAnsi="仿宋_GB2312" w:cs="仿宋_GB2312" w:eastAsia="仿宋_GB2312"/>
              </w:rPr>
              <w:t>拟投入项目人员一览表</w:t>
            </w:r>
          </w:p>
        </w:tc>
      </w:tr>
      <w:tr>
        <w:tc>
          <w:tcPr>
            <w:tcW w:type="dxa" w:w="831"/>
            <w:vMerge/>
          </w:tcPr>
          <w:p/>
        </w:tc>
        <w:tc>
          <w:tcPr>
            <w:tcW w:type="dxa" w:w="1661"/>
          </w:tcPr>
          <w:p>
            <w:pPr>
              <w:pStyle w:val="null5"/>
              <w:jc w:val="left"/>
            </w:pPr>
            <w:r>
              <w:rPr>
                <w:rFonts w:ascii="仿宋_GB2312" w:hAnsi="仿宋_GB2312" w:cs="仿宋_GB2312" w:eastAsia="仿宋_GB2312"/>
              </w:rPr>
              <w:t>服务团队综合情况</w:t>
            </w:r>
          </w:p>
        </w:tc>
        <w:tc>
          <w:tcPr>
            <w:tcW w:type="dxa" w:w="2575"/>
          </w:tcPr>
          <w:p>
            <w:pPr>
              <w:pStyle w:val="null5"/>
              <w:jc w:val="left"/>
            </w:pPr>
            <w:r>
              <w:rPr>
                <w:rFonts w:ascii="仿宋_GB2312" w:hAnsi="仿宋_GB2312" w:cs="仿宋_GB2312" w:eastAsia="仿宋_GB2312"/>
              </w:rPr>
              <w:t>根据投标人针对本项目提供的服务团队综合情况进行综合评审，包括但不限于（1）团队整体架构及人员配备数量、（2）人员专业技术技能及资格证书、（3）人员从业经验（除项目负责人、厨师长之外）三方面内容，每方面5分，本项满分15分。团队整体组织架构科学完善、拟投入人员的专业技术及服务能力优异、人员从业经验丰富的得满分5分，每有一处不合理、不完善的瑕疵纰漏之处的扣1分，扣完为止。须提供人员简历、专业技能及工作经验等证明材料，未按要求提供的不得分。</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p>
            <w:pPr>
              <w:pStyle w:val="null5"/>
              <w:jc w:val="left"/>
            </w:pPr>
            <w:r>
              <w:rPr>
                <w:rFonts w:ascii="仿宋_GB2312" w:hAnsi="仿宋_GB2312" w:cs="仿宋_GB2312" w:eastAsia="仿宋_GB2312"/>
              </w:rPr>
              <w:t>项目负责人简历表</w:t>
            </w:r>
          </w:p>
          <w:p>
            <w:pPr>
              <w:pStyle w:val="null5"/>
              <w:jc w:val="left"/>
            </w:pPr>
            <w:r>
              <w:rPr>
                <w:rFonts w:ascii="仿宋_GB2312" w:hAnsi="仿宋_GB2312" w:cs="仿宋_GB2312" w:eastAsia="仿宋_GB2312"/>
              </w:rPr>
              <w:t>拟投入项目人员一览表</w:t>
            </w:r>
          </w:p>
        </w:tc>
      </w:tr>
      <w:tr>
        <w:tc>
          <w:tcPr>
            <w:tcW w:type="dxa" w:w="831"/>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业绩</w:t>
            </w:r>
          </w:p>
        </w:tc>
        <w:tc>
          <w:tcPr>
            <w:tcW w:type="dxa" w:w="2575"/>
          </w:tcPr>
          <w:p>
            <w:pPr>
              <w:pStyle w:val="null5"/>
              <w:jc w:val="left"/>
            </w:pPr>
            <w:r>
              <w:rPr>
                <w:rFonts w:ascii="仿宋_GB2312" w:hAnsi="仿宋_GB2312" w:cs="仿宋_GB2312" w:eastAsia="仿宋_GB2312"/>
              </w:rPr>
              <w:t>提供自2023年6月1日至今的同类项目业绩，每提供一份得2分，最多6分。 注：时间以合同签订时间为准，须提供合同原件扫描件、中标通知书或中标公示截图及链接网址，否则不得分。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业绩一览表</w:t>
            </w:r>
          </w:p>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（1）龙山厅响应报价低于全部通过符合性审查供应商响应报价平均值65%的，即龙山厅响应报价&lt;全部通过符合性审查供应商响应报价平均值×65%。 （2）龙山厅响应报价低于通过符合性审查且报价次低供应商响应报价65%的，即龙山厅响应报价&lt;通过符合性审查且报价次低供应商响应报价×65%。 （3）龙山厅响应报价低于最高限价65%的，即龙山厅响应报价&lt;最高限价×65%。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报价表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龙山厅</w:t>
            </w:r>
          </w:p>
        </w:tc>
        <w:tc>
          <w:tcPr>
            <w:tcW w:type="dxa" w:w="2575"/>
          </w:tcPr>
          <w:p>
            <w:pPr>
              <w:pStyle w:val="null5"/>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报价表</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技术部分84.00分</w:t>
            </w:r>
          </w:p>
          <w:p>
            <w:pPr>
              <w:pStyle w:val="null5"/>
              <w:jc w:val="left"/>
            </w:pPr>
            <w:r>
              <w:rPr>
                <w:rFonts w:ascii="仿宋_GB2312" w:hAnsi="仿宋_GB2312" w:cs="仿宋_GB2312" w:eastAsia="仿宋_GB2312"/>
              </w:rPr>
              <w:t>商务部分6.00分</w:t>
            </w:r>
          </w:p>
          <w:p>
            <w:pPr>
              <w:pStyle w:val="null5"/>
              <w:jc w:val="left"/>
            </w:pPr>
            <w:r>
              <w:rPr>
                <w:rFonts w:ascii="仿宋_GB2312" w:hAnsi="仿宋_GB2312" w:cs="仿宋_GB2312" w:eastAsia="仿宋_GB2312"/>
              </w:rPr>
              <w:t>报价得分10.00分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伙食结构与健康饮⻝⽅案</w:t>
            </w:r>
          </w:p>
        </w:tc>
        <w:tc>
          <w:tcPr>
            <w:tcW w:type="dxa" w:w="2575"/>
          </w:tcPr>
          <w:p>
            <w:pPr>
              <w:pStyle w:val="null5"/>
              <w:jc w:val="left"/>
            </w:pPr>
            <w:r>
              <w:rPr>
                <w:rFonts w:ascii="仿宋_GB2312" w:hAnsi="仿宋_GB2312" w:cs="仿宋_GB2312" w:eastAsia="仿宋_GB2312"/>
              </w:rPr>
              <w:t>根据投标人针对本项目提供的伙食结构与健康饮⻝⽅案进行综合评审，包括但不限于（1）伙食结构、（2）健康饮⻝⽅案两方面内容。每方面8分，本项满分16分。食堂菜品丰富，搭配均衡口味多元化、膳⻝营养健康、营养健康知识宣传方案完善、带量⻝谱推⼴应⽤规划科学的得8分，各方面内容每有一处不合理或不完善的瑕疵处的扣1分，扣完为止。未提供相关内容的不得分。</w:t>
            </w:r>
          </w:p>
        </w:tc>
        <w:tc>
          <w:tcPr>
            <w:tcW w:type="dxa" w:w="831"/>
          </w:tcPr>
          <w:p>
            <w:pPr>
              <w:pStyle w:val="null5"/>
              <w:jc w:val="center"/>
            </w:pPr>
            <w:r>
              <w:rPr>
                <w:rFonts w:ascii="仿宋_GB2312" w:hAnsi="仿宋_GB2312" w:cs="仿宋_GB2312" w:eastAsia="仿宋_GB2312"/>
              </w:rPr>
              <w:t>16.0000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tc>
      </w:tr>
      <w:tr>
        <w:tc>
          <w:tcPr>
            <w:tcW w:type="dxa" w:w="831"/>
            <w:vMerge/>
          </w:tcPr>
          <w:p/>
        </w:tc>
        <w:tc>
          <w:tcPr>
            <w:tcW w:type="dxa" w:w="1661"/>
          </w:tcPr>
          <w:p>
            <w:pPr>
              <w:pStyle w:val="null5"/>
              <w:jc w:val="left"/>
            </w:pPr>
            <w:r>
              <w:rPr>
                <w:rFonts w:ascii="仿宋_GB2312" w:hAnsi="仿宋_GB2312" w:cs="仿宋_GB2312" w:eastAsia="仿宋_GB2312"/>
              </w:rPr>
              <w:t>食堂安全与卫生管理方案</w:t>
            </w:r>
          </w:p>
        </w:tc>
        <w:tc>
          <w:tcPr>
            <w:tcW w:type="dxa" w:w="2575"/>
          </w:tcPr>
          <w:p>
            <w:pPr>
              <w:pStyle w:val="null5"/>
              <w:jc w:val="left"/>
            </w:pPr>
            <w:r>
              <w:rPr>
                <w:rFonts w:ascii="仿宋_GB2312" w:hAnsi="仿宋_GB2312" w:cs="仿宋_GB2312" w:eastAsia="仿宋_GB2312"/>
              </w:rPr>
              <w:t>根据投标人针对本项目提供的食堂安全与卫生管理方案进行综合评审，包括但不限于（1）⻝品安全整体架构及管理制度、（2）⻝品安全全流程管控措施、（3）餐具清洗消毒流程、（4）⻝品留样方案、（5）⻝品添加剂使⽤管理及有害⽣物防治五方面内容，每方面4分，本项满分20分。各方面内容详实完善、可行性高、针对性强、贴合并满足项目需要的得满分4分，每有一处不合理或不完善的瑕疵处的扣1分，扣完为止。未提供相关内容的不得分。</w:t>
            </w:r>
          </w:p>
        </w:tc>
        <w:tc>
          <w:tcPr>
            <w:tcW w:type="dxa" w:w="831"/>
          </w:tcPr>
          <w:p>
            <w:pPr>
              <w:pStyle w:val="null5"/>
              <w:jc w:val="center"/>
            </w:pPr>
            <w:r>
              <w:rPr>
                <w:rFonts w:ascii="仿宋_GB2312" w:hAnsi="仿宋_GB2312" w:cs="仿宋_GB2312" w:eastAsia="仿宋_GB2312"/>
              </w:rPr>
              <w:t>20.0000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tc>
      </w:tr>
      <w:tr>
        <w:tc>
          <w:tcPr>
            <w:tcW w:type="dxa" w:w="831"/>
            <w:vMerge/>
          </w:tcPr>
          <w:p/>
        </w:tc>
        <w:tc>
          <w:tcPr>
            <w:tcW w:type="dxa" w:w="1661"/>
          </w:tcPr>
          <w:p>
            <w:pPr>
              <w:pStyle w:val="null5"/>
              <w:jc w:val="left"/>
            </w:pPr>
            <w:r>
              <w:rPr>
                <w:rFonts w:ascii="仿宋_GB2312" w:hAnsi="仿宋_GB2312" w:cs="仿宋_GB2312" w:eastAsia="仿宋_GB2312"/>
              </w:rPr>
              <w:t>环境提升⽅案</w:t>
            </w:r>
          </w:p>
        </w:tc>
        <w:tc>
          <w:tcPr>
            <w:tcW w:type="dxa" w:w="2575"/>
          </w:tcPr>
          <w:p>
            <w:pPr>
              <w:pStyle w:val="null5"/>
              <w:jc w:val="left"/>
            </w:pPr>
            <w:r>
              <w:rPr>
                <w:rFonts w:ascii="仿宋_GB2312" w:hAnsi="仿宋_GB2312" w:cs="仿宋_GB2312" w:eastAsia="仿宋_GB2312"/>
              </w:rPr>
              <w:t>根据投标⼈针对本项目提供的环境提升⽅案进⾏综合评审，包括但不限于（1）⻝堂服务育⼈环境提升方案、（2）⽂化特⾊建设⽅案两方面内容，每方面4分，本项满分8分。各方面内容详实完善、可行性高、针对性强、贴合并满足项目需要的得满分4分，每有一处不合理或不完善的瑕疵处的扣1分，扣完为止。未提供相关内容的不得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tc>
      </w:tr>
      <w:tr>
        <w:tc>
          <w:tcPr>
            <w:tcW w:type="dxa" w:w="831"/>
            <w:vMerge/>
          </w:tcPr>
          <w:p/>
        </w:tc>
        <w:tc>
          <w:tcPr>
            <w:tcW w:type="dxa" w:w="1661"/>
          </w:tcPr>
          <w:p>
            <w:pPr>
              <w:pStyle w:val="null5"/>
              <w:jc w:val="left"/>
            </w:pPr>
            <w:r>
              <w:rPr>
                <w:rFonts w:ascii="仿宋_GB2312" w:hAnsi="仿宋_GB2312" w:cs="仿宋_GB2312" w:eastAsia="仿宋_GB2312"/>
              </w:rPr>
              <w:t>管理制度</w:t>
            </w:r>
          </w:p>
        </w:tc>
        <w:tc>
          <w:tcPr>
            <w:tcW w:type="dxa" w:w="2575"/>
          </w:tcPr>
          <w:p>
            <w:pPr>
              <w:pStyle w:val="null5"/>
              <w:jc w:val="left"/>
            </w:pPr>
            <w:r>
              <w:rPr>
                <w:rFonts w:ascii="仿宋_GB2312" w:hAnsi="仿宋_GB2312" w:cs="仿宋_GB2312" w:eastAsia="仿宋_GB2312"/>
              </w:rPr>
              <w:t>根据投标人提供的内部岗位责任制度、监督检查制度、消防安全制度、员工考核培训制度、档案管理制度等进行综合评审。部门职责明确，工作流程完整、制度科学、全面的得满分6分，每有一处不合理或不完善的瑕疵处的扣1分，扣完为止。未提供相关内容的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tc>
      </w:tr>
      <w:tr>
        <w:tc>
          <w:tcPr>
            <w:tcW w:type="dxa" w:w="831"/>
            <w:vMerge/>
          </w:tcPr>
          <w:p/>
        </w:tc>
        <w:tc>
          <w:tcPr>
            <w:tcW w:type="dxa" w:w="1661"/>
          </w:tcPr>
          <w:p>
            <w:pPr>
              <w:pStyle w:val="null5"/>
              <w:jc w:val="left"/>
            </w:pPr>
            <w:r>
              <w:rPr>
                <w:rFonts w:ascii="仿宋_GB2312" w:hAnsi="仿宋_GB2312" w:cs="仿宋_GB2312" w:eastAsia="仿宋_GB2312"/>
              </w:rPr>
              <w:t>应急预案</w:t>
            </w:r>
          </w:p>
        </w:tc>
        <w:tc>
          <w:tcPr>
            <w:tcW w:type="dxa" w:w="2575"/>
          </w:tcPr>
          <w:p>
            <w:pPr>
              <w:pStyle w:val="null5"/>
              <w:jc w:val="left"/>
            </w:pPr>
            <w:r>
              <w:rPr>
                <w:rFonts w:ascii="仿宋_GB2312" w:hAnsi="仿宋_GB2312" w:cs="仿宋_GB2312" w:eastAsia="仿宋_GB2312"/>
              </w:rPr>
              <w:t>根据投标人针对本项目提供的突发事件的应急处理能力及相关措施等进行综合评审，内容详实完善、可行性高、针对性强、贴合并满足项目需要的得满分6分，每有一处不合理或不完善的瑕疵处的扣1分，扣完为止。未提供相关内容的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tc>
      </w:tr>
      <w:tr>
        <w:tc>
          <w:tcPr>
            <w:tcW w:type="dxa" w:w="831"/>
            <w:vMerge/>
          </w:tcPr>
          <w:p/>
        </w:tc>
        <w:tc>
          <w:tcPr>
            <w:tcW w:type="dxa" w:w="1661"/>
          </w:tcPr>
          <w:p>
            <w:pPr>
              <w:pStyle w:val="null5"/>
              <w:jc w:val="left"/>
            </w:pPr>
            <w:r>
              <w:rPr>
                <w:rFonts w:ascii="仿宋_GB2312" w:hAnsi="仿宋_GB2312" w:cs="仿宋_GB2312" w:eastAsia="仿宋_GB2312"/>
              </w:rPr>
              <w:t>接管和进驻方案</w:t>
            </w:r>
          </w:p>
        </w:tc>
        <w:tc>
          <w:tcPr>
            <w:tcW w:type="dxa" w:w="2575"/>
          </w:tcPr>
          <w:p>
            <w:pPr>
              <w:pStyle w:val="null5"/>
              <w:jc w:val="left"/>
            </w:pPr>
            <w:r>
              <w:rPr>
                <w:rFonts w:ascii="仿宋_GB2312" w:hAnsi="仿宋_GB2312" w:cs="仿宋_GB2312" w:eastAsia="仿宋_GB2312"/>
              </w:rPr>
              <w:t>根据投标人针对本项目提供的接管和进驻方案进行综合评审，内容详实完善、可行性高、针对性强、贴合并满足项目需要的得满分3分，每有一处不合理或不完善的瑕疵处的扣1分，扣完为止。未提供相关内容的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tc>
      </w:tr>
      <w:tr>
        <w:tc>
          <w:tcPr>
            <w:tcW w:type="dxa" w:w="831"/>
            <w:vMerge/>
          </w:tcPr>
          <w:p/>
        </w:tc>
        <w:tc>
          <w:tcPr>
            <w:tcW w:type="dxa" w:w="1661"/>
          </w:tcPr>
          <w:p>
            <w:pPr>
              <w:pStyle w:val="null5"/>
              <w:jc w:val="left"/>
            </w:pPr>
            <w:r>
              <w:rPr>
                <w:rFonts w:ascii="仿宋_GB2312" w:hAnsi="仿宋_GB2312" w:cs="仿宋_GB2312" w:eastAsia="仿宋_GB2312"/>
              </w:rPr>
              <w:t>管理团队主要人员</w:t>
            </w:r>
          </w:p>
        </w:tc>
        <w:tc>
          <w:tcPr>
            <w:tcW w:type="dxa" w:w="2575"/>
          </w:tcPr>
          <w:p>
            <w:pPr>
              <w:pStyle w:val="null5"/>
              <w:jc w:val="left"/>
            </w:pPr>
            <w:r>
              <w:rPr>
                <w:rFonts w:ascii="仿宋_GB2312" w:hAnsi="仿宋_GB2312" w:cs="仿宋_GB2312" w:eastAsia="仿宋_GB2312"/>
              </w:rPr>
              <w:t>（1）项目负责人具有5年及以上同类项目经验的，得5分，具有3（含）-5（不含）年同类项目经验的得3分，其余不得分。提供相关证明材料，否则不得分。 （2）厨师⻓具有技师及以上厨师职业资格证书的得3分，否则不得分。提供证书扫描件，不提供不得分；具有5年及以上同类项目经验的，得2分，具有3（含）-5（不含）年同类项目经验的得1分，其余不得分。提供相关证明材料，否则不得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p>
            <w:pPr>
              <w:pStyle w:val="null5"/>
              <w:jc w:val="left"/>
            </w:pPr>
            <w:r>
              <w:rPr>
                <w:rFonts w:ascii="仿宋_GB2312" w:hAnsi="仿宋_GB2312" w:cs="仿宋_GB2312" w:eastAsia="仿宋_GB2312"/>
              </w:rPr>
              <w:t>项目负责人简历表</w:t>
            </w:r>
          </w:p>
          <w:p>
            <w:pPr>
              <w:pStyle w:val="null5"/>
              <w:jc w:val="left"/>
            </w:pPr>
            <w:r>
              <w:rPr>
                <w:rFonts w:ascii="仿宋_GB2312" w:hAnsi="仿宋_GB2312" w:cs="仿宋_GB2312" w:eastAsia="仿宋_GB2312"/>
              </w:rPr>
              <w:t>拟投入项目人员一览表</w:t>
            </w:r>
          </w:p>
        </w:tc>
      </w:tr>
      <w:tr>
        <w:tc>
          <w:tcPr>
            <w:tcW w:type="dxa" w:w="831"/>
            <w:vMerge/>
          </w:tcPr>
          <w:p/>
        </w:tc>
        <w:tc>
          <w:tcPr>
            <w:tcW w:type="dxa" w:w="1661"/>
          </w:tcPr>
          <w:p>
            <w:pPr>
              <w:pStyle w:val="null5"/>
              <w:jc w:val="left"/>
            </w:pPr>
            <w:r>
              <w:rPr>
                <w:rFonts w:ascii="仿宋_GB2312" w:hAnsi="仿宋_GB2312" w:cs="仿宋_GB2312" w:eastAsia="仿宋_GB2312"/>
              </w:rPr>
              <w:t>服务团队综合情况</w:t>
            </w:r>
          </w:p>
        </w:tc>
        <w:tc>
          <w:tcPr>
            <w:tcW w:type="dxa" w:w="2575"/>
          </w:tcPr>
          <w:p>
            <w:pPr>
              <w:pStyle w:val="null5"/>
              <w:jc w:val="left"/>
            </w:pPr>
            <w:r>
              <w:rPr>
                <w:rFonts w:ascii="仿宋_GB2312" w:hAnsi="仿宋_GB2312" w:cs="仿宋_GB2312" w:eastAsia="仿宋_GB2312"/>
              </w:rPr>
              <w:t>根据投标人针对本项目提供的服务团队综合情况进行综合评审，包括但不限于（1）团队整体架构及人员配备数量、（2）人员专业技术技能及资格证书、（3）人员从业经验（除项目负责人、厨师长之外）三方面内容，每方面5分，本项满分15分。团队整体组织架构科学完善、拟投入人员的专业技术及服务能力优异、人员从业经验丰富的得满分5分，每有一处不合理、不完善的瑕疵纰漏之处的扣1分，扣完为止。须提供人员简历、专业技能及工作经验等证明材料，未按要求提供的不得分。</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技术偏离表</w:t>
            </w:r>
          </w:p>
          <w:p>
            <w:pPr>
              <w:pStyle w:val="null5"/>
              <w:jc w:val="left"/>
            </w:pPr>
            <w:r>
              <w:rPr>
                <w:rFonts w:ascii="仿宋_GB2312" w:hAnsi="仿宋_GB2312" w:cs="仿宋_GB2312" w:eastAsia="仿宋_GB2312"/>
              </w:rPr>
              <w:t>技术评审文件</w:t>
            </w:r>
          </w:p>
          <w:p>
            <w:pPr>
              <w:pStyle w:val="null5"/>
              <w:jc w:val="left"/>
            </w:pPr>
            <w:r>
              <w:rPr>
                <w:rFonts w:ascii="仿宋_GB2312" w:hAnsi="仿宋_GB2312" w:cs="仿宋_GB2312" w:eastAsia="仿宋_GB2312"/>
              </w:rPr>
              <w:t>项目负责人简历表</w:t>
            </w:r>
          </w:p>
          <w:p>
            <w:pPr>
              <w:pStyle w:val="null5"/>
              <w:jc w:val="left"/>
            </w:pPr>
            <w:r>
              <w:rPr>
                <w:rFonts w:ascii="仿宋_GB2312" w:hAnsi="仿宋_GB2312" w:cs="仿宋_GB2312" w:eastAsia="仿宋_GB2312"/>
              </w:rPr>
              <w:t>拟投入项目人员一览表</w:t>
            </w:r>
          </w:p>
        </w:tc>
      </w:tr>
      <w:tr>
        <w:tc>
          <w:tcPr>
            <w:tcW w:type="dxa" w:w="831"/>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业绩</w:t>
            </w:r>
          </w:p>
        </w:tc>
        <w:tc>
          <w:tcPr>
            <w:tcW w:type="dxa" w:w="2575"/>
          </w:tcPr>
          <w:p>
            <w:pPr>
              <w:pStyle w:val="null5"/>
              <w:jc w:val="left"/>
            </w:pPr>
            <w:r>
              <w:rPr>
                <w:rFonts w:ascii="仿宋_GB2312" w:hAnsi="仿宋_GB2312" w:cs="仿宋_GB2312" w:eastAsia="仿宋_GB2312"/>
              </w:rPr>
              <w:t>提供自2023年6月1日至今的同类项目业绩，每提供一份得2分，最多6分。 注：时间以合同签订时间为准，须提供合同原件扫描件、中标通知书或中标公示截图及链接网址，否则不得分。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业绩一览表</w:t>
            </w:r>
          </w:p>
          <w:p>
            <w:pPr>
              <w:pStyle w:val="null5"/>
              <w:jc w:val="left"/>
            </w:pPr>
            <w:r>
              <w:rPr>
                <w:rFonts w:ascii="仿宋_GB2312" w:hAnsi="仿宋_GB2312" w:cs="仿宋_GB2312" w:eastAsia="仿宋_GB2312"/>
              </w:rPr>
              <w:t>其他材料</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（1）凤凰厅（含天烛厅）响应报价低于全部通过符合性审查供应商响应报价平均值65%的，即凤凰厅（含天烛厅）响应报价&lt;全部通过符合性审查供应商响应报价平均值×65%。 （2）凤凰厅（含天烛厅）响应报价低于通过符合性审查且报价次低供应商响应报价65%的，即凤凰厅（含天烛厅）响应报价&lt;通过符合性审查且报价次低供应商响应报价×65%。 （3）凤凰厅（含天烛厅）响应报价低于最高限价65%的，即凤凰厅（含天烛厅）响应报价&lt;最高限价×65%。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报价表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凤凰厅（含天烛厅）</w:t>
            </w:r>
          </w:p>
        </w:tc>
        <w:tc>
          <w:tcPr>
            <w:tcW w:type="dxa" w:w="2575"/>
          </w:tcPr>
          <w:p>
            <w:pPr>
              <w:pStyle w:val="null5"/>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报价表</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中小企业声明函（服务）、残疾人福利性单位声明函、监狱企业证明文件</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中小企业声明函（服务）、残疾人福利性单位声明函、监狱企业的证明文件</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（1）龙山厅响应报价低于全部通过符合性审查供应商响应报价平均值65%的，即龙山厅响应报价&lt;全部通过符合性审查供应商响应报价平均值×65%。</w:t>
              <w:br/>
              <w:t>（2）龙山厅响应报价低于通过符合性审查且报价次低供应商响应报价65%的，即龙山厅响应报价&lt;通过符合性审查且报价次低供应商响应报价×65%。</w:t>
              <w:br/>
              <w:t>（3）龙山厅响应报价低于最高限价65%的，即龙山厅响应报价&lt;最高限价×65%。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（1）凤凰厅（含天烛厅）响应报价低于全部通过符合性审查供应商响应报价平均值65%的，即凤凰厅（含天烛厅）响应报价&lt;全部通过符合性审查供应商响应报价平均值×65%。</w:t>
              <w:br/>
              <w:t>（2）凤凰厅（含天烛厅）响应报价低于通过符合性审查且报价次低供应商响应报价65%的，即凤凰厅（含天烛厅）响应报价&lt;通过符合性审查且报价次低供应商响应报价×65%。</w:t>
              <w:br/>
              <w:t>（3）凤凰厅（含天烛厅）响应报价低于最高限价65%的，即凤凰厅（含天烛厅）响应报价&lt;最高限价×65%。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5.5.废标</w:t>
      </w:r>
    </w:p>
    <w:p>
      <w:pPr>
        <w:pStyle w:val="null5"/>
        <w:ind w:firstLine="480"/>
        <w:jc w:val="both"/>
      </w:pPr>
      <w:r>
        <w:rPr>
          <w:rFonts w:ascii="仿宋_GB2312" w:hAnsi="仿宋_GB2312" w:cs="仿宋_GB2312" w:eastAsia="仿宋_GB2312"/>
        </w:rPr>
        <w:t>本次政府采购活动中，出现下列情形之一的，予以废标：</w:t>
      </w:r>
    </w:p>
    <w:p>
      <w:pPr>
        <w:pStyle w:val="null5"/>
        <w:ind w:firstLine="480"/>
        <w:jc w:val="both"/>
      </w:pPr>
      <w:r>
        <w:rPr>
          <w:rFonts w:ascii="仿宋_GB2312" w:hAnsi="仿宋_GB2312" w:cs="仿宋_GB2312" w:eastAsia="仿宋_GB2312"/>
        </w:rPr>
        <w:t>一、符合专业条件的投标人或者对招标文件作实质响应的投标人不足 3 家的（如本项目采购包涉及核心产品，经符合性审查，提供核心产品品牌不足 3 个的，视为有效投标人不足 3 家）；</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三、投标人的报价均超过了采购预算，采购人不能支付的；</w:t>
      </w:r>
    </w:p>
    <w:p>
      <w:pPr>
        <w:pStyle w:val="null5"/>
        <w:ind w:firstLine="480"/>
        <w:jc w:val="both"/>
      </w:pPr>
      <w:r>
        <w:rPr>
          <w:rFonts w:ascii="仿宋_GB2312" w:hAnsi="仿宋_GB2312" w:cs="仿宋_GB2312" w:eastAsia="仿宋_GB2312"/>
        </w:rPr>
        <w:t>四、因重大变故，采购任务取消的。</w:t>
      </w:r>
    </w:p>
    <w:p>
      <w:pPr>
        <w:pStyle w:val="null5"/>
        <w:ind w:firstLine="480"/>
        <w:jc w:val="both"/>
      </w:pPr>
      <w:r>
        <w:rPr>
          <w:rFonts w:ascii="仿宋_GB2312" w:hAnsi="仿宋_GB2312" w:cs="仿宋_GB2312" w:eastAsia="仿宋_GB2312"/>
        </w:rPr>
        <w:t>废标后，代理机构将在“中国山东政府采购网”公告。</w:t>
      </w:r>
    </w:p>
    <w:p>
      <w:pPr>
        <w:pStyle w:val="null5"/>
        <w:ind w:firstLine="480"/>
        <w:jc w:val="left"/>
        <w:outlineLvl w:val="2"/>
      </w:pPr>
      <w:r>
        <w:rPr>
          <w:rFonts w:ascii="仿宋_GB2312" w:hAnsi="仿宋_GB2312" w:cs="仿宋_GB2312" w:eastAsia="仿宋_GB2312"/>
          <w:sz w:val="28"/>
          <w:b/>
        </w:rPr>
        <w:t>5.6.定标</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一、采购人应当自收到评标报告之日起 5 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5"/>
        <w:ind w:firstLine="480"/>
        <w:jc w:val="both"/>
      </w:pPr>
      <w:r>
        <w:rPr>
          <w:rFonts w:ascii="仿宋_GB2312" w:hAnsi="仿宋_GB2312" w:cs="仿宋_GB2312" w:eastAsia="仿宋_GB2312"/>
        </w:rPr>
        <w:t>二、采购人或者代理机构应当自中标人确定之日起 2 个工作日内，在“中国山东政府采购网”公告中标结果，招标文件应当随中标结果同时公告。</w:t>
      </w:r>
    </w:p>
    <w:p>
      <w:pPr>
        <w:pStyle w:val="null5"/>
        <w:ind w:firstLine="480"/>
        <w:jc w:val="left"/>
        <w:outlineLvl w:val="2"/>
      </w:pPr>
      <w:r>
        <w:rPr>
          <w:rFonts w:ascii="仿宋_GB2312" w:hAnsi="仿宋_GB2312" w:cs="仿宋_GB2312" w:eastAsia="仿宋_GB2312"/>
          <w:sz w:val="28"/>
          <w:b/>
        </w:rPr>
        <w:t>5.7.评标委员会义务</w:t>
      </w:r>
    </w:p>
    <w:p>
      <w:pPr>
        <w:pStyle w:val="null5"/>
        <w:ind w:firstLine="480"/>
        <w:jc w:val="both"/>
      </w:pPr>
      <w:r>
        <w:rPr>
          <w:rFonts w:ascii="仿宋_GB2312" w:hAnsi="仿宋_GB2312" w:cs="仿宋_GB2312" w:eastAsia="仿宋_GB2312"/>
        </w:rPr>
        <w:t>评标委员会在政府采购活动中应当履行下列义务：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二、按照客观、公正、审慎的原则，根据招标文件规定的评审程序、评审方法和评审标准进行独立评审；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5"/>
        <w:ind w:firstLine="480"/>
        <w:jc w:val="both"/>
      </w:pPr>
      <w:r>
        <w:rPr>
          <w:rFonts w:ascii="仿宋_GB2312" w:hAnsi="仿宋_GB2312" w:cs="仿宋_GB2312" w:eastAsia="仿宋_GB2312"/>
        </w:rPr>
        <w:t>五、发现招标文件内容违反国家有关强制性规定或者存在歧义、重大缺陷导致评审工作无法进行时，停止评审并通过交易系统向代理 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5.8.评标委员会成员工作纪律</w:t>
      </w:r>
    </w:p>
    <w:p>
      <w:pPr>
        <w:pStyle w:val="null5"/>
        <w:ind w:firstLine="480"/>
        <w:jc w:val="both"/>
      </w:pPr>
      <w:r>
        <w:rPr>
          <w:rFonts w:ascii="仿宋_GB2312" w:hAnsi="仿宋_GB2312" w:cs="仿宋_GB2312" w:eastAsia="仿宋_GB2312"/>
        </w:rPr>
        <w:t>评标委员会成员在政府采购活动中应当遵守以下工作纪律：</w:t>
      </w:r>
    </w:p>
    <w:p>
      <w:pPr>
        <w:pStyle w:val="null5"/>
        <w:ind w:firstLine="480"/>
        <w:jc w:val="both"/>
      </w:pPr>
      <w:r>
        <w:rPr>
          <w:rFonts w:ascii="仿宋_GB2312" w:hAnsi="仿宋_GB2312" w:cs="仿宋_GB2312" w:eastAsia="仿宋_GB2312"/>
        </w:rPr>
        <w:t>一、严格遵守政府采购法律制度关于评标委员会成员回避的规定。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5"/>
        <w:jc w:val="center"/>
        <w:outlineLvl w:val="1"/>
      </w:pPr>
      <w:r>
        <w:rPr>
          <w:rFonts w:ascii="仿宋_GB2312" w:hAnsi="仿宋_GB2312" w:cs="仿宋_GB2312" w:eastAsia="仿宋_GB2312"/>
          <w:sz w:val="36"/>
          <w:b/>
        </w:rPr>
        <w:t>第六章 投标文件格式</w:t>
      </w:r>
    </w:p>
    <w:p>
      <w:pPr>
        <w:pStyle w:val="null5"/>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详见附件：供应商应提交的相关证明材料</w:t>
      </w:r>
    </w:p>
    <w:p>
      <w:pPr>
        <w:pStyle w:val="null5"/>
        <w:ind w:firstLine="960"/>
        <w:jc w:val="left"/>
      </w:pPr>
      <w:r>
        <w:rPr>
          <w:rFonts w:ascii="仿宋_GB2312" w:hAnsi="仿宋_GB2312" w:cs="仿宋_GB2312" w:eastAsia="仿宋_GB2312"/>
        </w:rPr>
        <w:t>详见附件：监狱企业证明文件</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详见附件：具有良好的商业信誉和健全的财务会计制度证明材料</w:t>
      </w:r>
    </w:p>
    <w:p>
      <w:pPr>
        <w:pStyle w:val="null5"/>
        <w:ind w:firstLine="960"/>
        <w:jc w:val="left"/>
      </w:pPr>
      <w:r>
        <w:rPr>
          <w:rFonts w:ascii="仿宋_GB2312" w:hAnsi="仿宋_GB2312" w:cs="仿宋_GB2312" w:eastAsia="仿宋_GB2312"/>
        </w:rPr>
        <w:t>详见附件：具有良好的商业信誉和健全的财务会计制度证明材料</w:t>
      </w:r>
    </w:p>
    <w:p>
      <w:pPr>
        <w:pStyle w:val="null5"/>
        <w:ind w:firstLine="960"/>
        <w:jc w:val="left"/>
      </w:pPr>
      <w:r>
        <w:rPr>
          <w:rFonts w:ascii="仿宋_GB2312" w:hAnsi="仿宋_GB2312" w:cs="仿宋_GB2312" w:eastAsia="仿宋_GB2312"/>
        </w:rPr>
        <w:t>详见附件：依法缴纳税收和社会保障资金的相关证明材料</w:t>
      </w:r>
    </w:p>
    <w:p>
      <w:pPr>
        <w:pStyle w:val="null5"/>
        <w:ind w:firstLine="960"/>
        <w:jc w:val="left"/>
      </w:pPr>
      <w:r>
        <w:rPr>
          <w:rFonts w:ascii="仿宋_GB2312" w:hAnsi="仿宋_GB2312" w:cs="仿宋_GB2312" w:eastAsia="仿宋_GB2312"/>
        </w:rPr>
        <w:t>详见附件：依法缴纳税收和社会保障资金的相关证明材料</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详见附件：单位负责人不为同一人或者不存在直接控股、管理关系的书面声明</w:t>
      </w:r>
    </w:p>
    <w:p>
      <w:pPr>
        <w:pStyle w:val="null5"/>
        <w:ind w:firstLine="960"/>
        <w:jc w:val="left"/>
      </w:pPr>
      <w:r>
        <w:rPr>
          <w:rFonts w:ascii="仿宋_GB2312" w:hAnsi="仿宋_GB2312" w:cs="仿宋_GB2312" w:eastAsia="仿宋_GB2312"/>
        </w:rPr>
        <w:t>详见附件：单位负责人不为同一人或者不存在直接控股、管理关系的书面声明</w:t>
      </w:r>
    </w:p>
    <w:p>
      <w:pPr>
        <w:pStyle w:val="null5"/>
        <w:ind w:firstLine="960"/>
        <w:jc w:val="left"/>
      </w:pPr>
      <w:r>
        <w:rPr>
          <w:rFonts w:ascii="仿宋_GB2312" w:hAnsi="仿宋_GB2312" w:cs="仿宋_GB2312" w:eastAsia="仿宋_GB2312"/>
        </w:rPr>
        <w:t>详见附件：中小企业声明函（服务）</w:t>
      </w:r>
    </w:p>
    <w:p>
      <w:pPr>
        <w:pStyle w:val="null5"/>
        <w:ind w:firstLine="960"/>
        <w:jc w:val="left"/>
      </w:pPr>
      <w:r>
        <w:rPr>
          <w:rFonts w:ascii="仿宋_GB2312" w:hAnsi="仿宋_GB2312" w:cs="仿宋_GB2312" w:eastAsia="仿宋_GB2312"/>
        </w:rPr>
        <w:t>详见附件：中小企业声明函（服务）</w:t>
      </w:r>
    </w:p>
    <w:p>
      <w:pPr>
        <w:pStyle w:val="null5"/>
        <w:ind w:firstLine="960"/>
        <w:jc w:val="left"/>
      </w:pPr>
      <w:r>
        <w:rPr>
          <w:rFonts w:ascii="仿宋_GB2312" w:hAnsi="仿宋_GB2312" w:cs="仿宋_GB2312" w:eastAsia="仿宋_GB2312"/>
        </w:rPr>
        <w:t>详见附件：投标函</w:t>
      </w:r>
    </w:p>
    <w:p>
      <w:pPr>
        <w:pStyle w:val="null5"/>
        <w:ind w:firstLine="960"/>
        <w:jc w:val="left"/>
      </w:pPr>
      <w:r>
        <w:rPr>
          <w:rFonts w:ascii="仿宋_GB2312" w:hAnsi="仿宋_GB2312" w:cs="仿宋_GB2312" w:eastAsia="仿宋_GB2312"/>
        </w:rPr>
        <w:t>详见附件：投标函</w:t>
      </w:r>
    </w:p>
    <w:p>
      <w:pPr>
        <w:pStyle w:val="null5"/>
        <w:ind w:firstLine="960"/>
        <w:jc w:val="left"/>
      </w:pPr>
      <w:r>
        <w:rPr>
          <w:rFonts w:ascii="仿宋_GB2312" w:hAnsi="仿宋_GB2312" w:cs="仿宋_GB2312" w:eastAsia="仿宋_GB2312"/>
        </w:rPr>
        <w:t>详见附件：承诺函</w:t>
      </w:r>
    </w:p>
    <w:p>
      <w:pPr>
        <w:pStyle w:val="null5"/>
        <w:ind w:firstLine="960"/>
        <w:jc w:val="left"/>
      </w:pPr>
      <w:r>
        <w:rPr>
          <w:rFonts w:ascii="仿宋_GB2312" w:hAnsi="仿宋_GB2312" w:cs="仿宋_GB2312" w:eastAsia="仿宋_GB2312"/>
        </w:rPr>
        <w:t>详见附件：承诺函</w:t>
      </w:r>
    </w:p>
    <w:p>
      <w:pPr>
        <w:pStyle w:val="null5"/>
        <w:ind w:firstLine="96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详见附件：技术评审文件</w:t>
      </w:r>
    </w:p>
    <w:p>
      <w:pPr>
        <w:pStyle w:val="null5"/>
        <w:ind w:firstLine="960"/>
        <w:jc w:val="left"/>
      </w:pPr>
      <w:r>
        <w:rPr>
          <w:rFonts w:ascii="仿宋_GB2312" w:hAnsi="仿宋_GB2312" w:cs="仿宋_GB2312" w:eastAsia="仿宋_GB2312"/>
        </w:rPr>
        <w:t>详见附件：技术评审文件</w:t>
      </w:r>
    </w:p>
    <w:p>
      <w:pPr>
        <w:pStyle w:val="null5"/>
        <w:ind w:firstLine="960"/>
        <w:jc w:val="left"/>
      </w:pPr>
      <w:r>
        <w:rPr>
          <w:rFonts w:ascii="仿宋_GB2312" w:hAnsi="仿宋_GB2312" w:cs="仿宋_GB2312" w:eastAsia="仿宋_GB2312"/>
        </w:rPr>
        <w:t>详见附件：项目负责人简历表</w:t>
      </w:r>
    </w:p>
    <w:p>
      <w:pPr>
        <w:pStyle w:val="null5"/>
        <w:ind w:firstLine="960"/>
        <w:jc w:val="left"/>
      </w:pPr>
      <w:r>
        <w:rPr>
          <w:rFonts w:ascii="仿宋_GB2312" w:hAnsi="仿宋_GB2312" w:cs="仿宋_GB2312" w:eastAsia="仿宋_GB2312"/>
        </w:rPr>
        <w:t>详见附件：项目负责人简历表</w:t>
      </w:r>
    </w:p>
    <w:p>
      <w:pPr>
        <w:pStyle w:val="null5"/>
        <w:ind w:firstLine="960"/>
        <w:jc w:val="left"/>
      </w:pPr>
      <w:r>
        <w:rPr>
          <w:rFonts w:ascii="仿宋_GB2312" w:hAnsi="仿宋_GB2312" w:cs="仿宋_GB2312" w:eastAsia="仿宋_GB2312"/>
        </w:rPr>
        <w:t>详见附件：拟投入项目人员一览表</w:t>
      </w:r>
    </w:p>
    <w:p>
      <w:pPr>
        <w:pStyle w:val="null5"/>
        <w:ind w:firstLine="960"/>
        <w:jc w:val="left"/>
      </w:pPr>
      <w:r>
        <w:rPr>
          <w:rFonts w:ascii="仿宋_GB2312" w:hAnsi="仿宋_GB2312" w:cs="仿宋_GB2312" w:eastAsia="仿宋_GB2312"/>
        </w:rPr>
        <w:t>详见附件：拟投入项目人员一览表</w:t>
      </w:r>
    </w:p>
    <w:p>
      <w:pPr>
        <w:pStyle w:val="null5"/>
        <w:ind w:firstLine="960"/>
        <w:jc w:val="left"/>
      </w:pPr>
      <w:r>
        <w:rPr>
          <w:rFonts w:ascii="仿宋_GB2312" w:hAnsi="仿宋_GB2312" w:cs="仿宋_GB2312" w:eastAsia="仿宋_GB2312"/>
        </w:rPr>
        <w:t>详见附件：商务偏离表</w:t>
      </w:r>
    </w:p>
    <w:p>
      <w:pPr>
        <w:pStyle w:val="null5"/>
        <w:ind w:firstLine="960"/>
        <w:jc w:val="left"/>
      </w:pPr>
      <w:r>
        <w:rPr>
          <w:rFonts w:ascii="仿宋_GB2312" w:hAnsi="仿宋_GB2312" w:cs="仿宋_GB2312" w:eastAsia="仿宋_GB2312"/>
        </w:rPr>
        <w:t>详见附件：商务偏离表</w:t>
      </w:r>
    </w:p>
    <w:p>
      <w:pPr>
        <w:pStyle w:val="null5"/>
        <w:ind w:firstLine="960"/>
        <w:jc w:val="left"/>
      </w:pPr>
      <w:r>
        <w:rPr>
          <w:rFonts w:ascii="仿宋_GB2312" w:hAnsi="仿宋_GB2312" w:cs="仿宋_GB2312" w:eastAsia="仿宋_GB2312"/>
        </w:rPr>
        <w:t>详见附件：业绩一览表</w:t>
      </w:r>
    </w:p>
    <w:p>
      <w:pPr>
        <w:pStyle w:val="null5"/>
        <w:ind w:firstLine="960"/>
        <w:jc w:val="left"/>
      </w:pPr>
      <w:r>
        <w:rPr>
          <w:rFonts w:ascii="仿宋_GB2312" w:hAnsi="仿宋_GB2312" w:cs="仿宋_GB2312" w:eastAsia="仿宋_GB2312"/>
        </w:rPr>
        <w:t>详见附件：业绩一览表</w:t>
      </w:r>
    </w:p>
    <w:p>
      <w:pPr>
        <w:pStyle w:val="null5"/>
        <w:ind w:firstLine="960"/>
        <w:jc w:val="left"/>
      </w:pPr>
      <w:r>
        <w:rPr>
          <w:rFonts w:ascii="仿宋_GB2312" w:hAnsi="仿宋_GB2312" w:cs="仿宋_GB2312" w:eastAsia="仿宋_GB2312"/>
        </w:rPr>
        <w:t>详见附件：关于符合本国产品标准的声明函（若有）</w:t>
      </w:r>
    </w:p>
    <w:p>
      <w:pPr>
        <w:pStyle w:val="null5"/>
        <w:ind w:firstLine="960"/>
        <w:jc w:val="left"/>
      </w:pPr>
      <w:r>
        <w:rPr>
          <w:rFonts w:ascii="仿宋_GB2312" w:hAnsi="仿宋_GB2312" w:cs="仿宋_GB2312" w:eastAsia="仿宋_GB2312"/>
        </w:rPr>
        <w:t>详见附件：关于本国产品成本占比的承诺函（若有）</w:t>
      </w:r>
    </w:p>
    <w:p>
      <w:pPr>
        <w:pStyle w:val="null5"/>
        <w:ind w:firstLine="960"/>
        <w:jc w:val="left"/>
      </w:pPr>
      <w:r>
        <w:rPr>
          <w:rFonts w:ascii="仿宋_GB2312" w:hAnsi="仿宋_GB2312" w:cs="仿宋_GB2312" w:eastAsia="仿宋_GB2312"/>
        </w:rPr>
        <w:t>详见附件：关于本国产品成本占比的承诺函（若有）</w:t>
      </w:r>
    </w:p>
    <w:p>
      <w:pPr>
        <w:pStyle w:val="null5"/>
        <w:ind w:firstLine="960"/>
        <w:jc w:val="left"/>
      </w:pPr>
      <w:r>
        <w:rPr>
          <w:rFonts w:ascii="仿宋_GB2312" w:hAnsi="仿宋_GB2312" w:cs="仿宋_GB2312" w:eastAsia="仿宋_GB2312"/>
        </w:rPr>
        <w:t>详见附件：关于符合本国产品标准的声明函（若有）</w:t>
      </w:r>
    </w:p>
    <w:p>
      <w:pPr>
        <w:pStyle w:val="null5"/>
        <w:ind w:firstLine="960"/>
        <w:jc w:val="left"/>
      </w:pPr>
      <w:r>
        <w:rPr>
          <w:rFonts w:ascii="仿宋_GB2312" w:hAnsi="仿宋_GB2312" w:cs="仿宋_GB2312" w:eastAsia="仿宋_GB2312"/>
        </w:rPr>
        <w:t>详见附件：报价表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详见附件：报价表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详见附件：合同范本.docx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