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山东第一医科大学（山东省医学科学院）口腔楼启用综合配套项目窗帘安装采购</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SDGP370000000202602002314</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海逸恒安项目管理有限公司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2026年04月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海逸恒安项目管理有限公司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山东第一医科大学（山东省医学科学院）口腔楼启用综合配套项目窗帘安装采购</w:t>
      </w:r>
      <w:r>
        <w:rPr>
          <w:rFonts w:ascii="仿宋_GB2312" w:hAnsi="仿宋_GB2312" w:cs="仿宋_GB2312" w:eastAsia="仿宋_GB2312"/>
        </w:rPr>
        <w:t>采用竞争性磋商方式进行采购，兹邀请符合资格条件的供应商参加磋商。本项目为山东省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SDGP370000000202602002314</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山东第一医科大学（山东省医学科学院）口腔楼启用综合配套项目窗帘安装采购</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根据山东第一医科大学（山东省医学科学院）口腔楼启用实际要求，拟采购一批窗帘。</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p>
      <w:pPr>
        <w:pStyle w:val="null5"/>
        <w:jc w:val="left"/>
      </w:pPr>
      <w:r>
        <w:rPr>
          <w:rFonts w:ascii="仿宋_GB2312" w:hAnsi="仿宋_GB2312" w:cs="仿宋_GB2312" w:eastAsia="仿宋_GB2312"/>
        </w:rPr>
        <w:t>3、具有履行合同所必需的设备和专业技术能力：供应商须具有履行合同所必需的设备和专业技术能力，须附信用承诺函或相关证明材料。</w:t>
      </w:r>
    </w:p>
    <w:p>
      <w:pPr>
        <w:pStyle w:val="null5"/>
        <w:jc w:val="left"/>
      </w:pPr>
      <w:r>
        <w:rPr>
          <w:rFonts w:ascii="仿宋_GB2312" w:hAnsi="仿宋_GB2312" w:cs="仿宋_GB2312" w:eastAsia="仿宋_GB2312"/>
        </w:rPr>
        <w:t>4、有依法缴纳税收和社会保障资金的良好记录：供应商须具有依法缴纳税收和社会保障资金的良好记录，须提供信用承诺函或相关证明材料。如提供证明材料，则： 缴纳税收的证明材料，应提供首次响应文件递交截止时间前三个月内任意一个月的依法缴税凭据； 缴纳社会保障资金的证明材料，应提供首次响应文件递交截止时间前三个月内任意一个月的缴纳社会保险的凭据； 注：依法免税或不需要缴纳社会保障资金的供应商，须提供相应文件证明其依法免税或不需要缴纳社会保障资金。</w:t>
      </w:r>
    </w:p>
    <w:p>
      <w:pPr>
        <w:pStyle w:val="null5"/>
        <w:jc w:val="left"/>
      </w:pPr>
      <w:r>
        <w:rPr>
          <w:rFonts w:ascii="仿宋_GB2312" w:hAnsi="仿宋_GB2312" w:cs="仿宋_GB2312" w:eastAsia="仿宋_GB2312"/>
        </w:rPr>
        <w:t>5、参加政府采购活动前三年内，在经营活动中没有重大违法记录：近三年内（本项目首次响应文件递交截止日前）供应商在经营活动中没有重大违法记录，供应商须提供书面声明或信用承诺函。其中：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p>
      <w:pPr>
        <w:pStyle w:val="null5"/>
        <w:jc w:val="left"/>
      </w:pPr>
      <w:r>
        <w:rPr>
          <w:rFonts w:ascii="仿宋_GB2312" w:hAnsi="仿宋_GB2312" w:cs="仿宋_GB2312" w:eastAsia="仿宋_GB2312"/>
        </w:rPr>
        <w:t>6、符合法律、行政法规规定的其他条件：符合法律、行政法规规定的其他条件。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信用查询是否存在不良记录：供应商在“信用中国”、“中国政府采购网”网站被列入失信被执行人、重大税收违法失信主体名单的、政府采购严重违法失信行为记录名单（处罚期限尚未届满的）的，不得参与本项目的政府采购活动。</w:t>
      </w:r>
    </w:p>
    <w:p>
      <w:pPr>
        <w:pStyle w:val="null5"/>
        <w:jc w:val="left"/>
      </w:pPr>
      <w:r>
        <w:rPr>
          <w:rFonts w:ascii="仿宋_GB2312" w:hAnsi="仿宋_GB2312" w:cs="仿宋_GB2312" w:eastAsia="仿宋_GB2312"/>
        </w:rPr>
        <w:t>2、单位负责人是否为同一人或者存在直接控股、管理关系：单位负责人为同一人或者存在直接控股、管理关系的不同供应商，不得参加同一包的报价或者未划分包的同一项目的报价，供应商须提供书面声明。</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250117</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山东省济南市历下区华润置地广场6号楼27层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向忆寒、陈晓楠</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0531-82661880、18780039059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采购包1：259,781.00元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各供应商应在商务应答表中确认履约保证金的缴纳方式，请在银行转账与汇票两种方式中任选一种。2、若成交供应商提供了符合要求的《中小企业声明函》，履约保证金为合同金额的2%。3、项目验收前，成交供应商应配送、安装、调试完成合同项下所有货物，达到正常使用状态，否则采购人有权拒绝验收，由此造成的法律责任、各种损失由成交供应商承担。4、履约保证金在货物验收合格，没有任何质量问题后，由成交供应商向采购人提交申请，采购人按相关规定无息退还给供应商。5、履约保证金缴纳信息：开户单位：山东第一医科大学；开户银行：中国农业银行股份有限公司济南槐荫支行；账号：15126101040096666；大额支付行号：103451012615。</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自提交首次响应文件的截止之日起90日历天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代理服务费收费标准：参照国家发展计划委员会计价格〔2002〕1980号《招标代理服务收费管理暂行办法》的规定，以差额累进法计算后下浮30%计取，由成交供应商向代理机构交纳。</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海逸恒安项目管理有限公司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货物全部到货并安装调试完毕</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符合采购文件、响应文件及合同中技术内容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符合采购文件、响应文件及合同中商务内容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货物运抵现场后，乙方应派工程技术人员到达现场，甲方将对货物数量、质量、规格等进行检验，并填报验收单和《履约验收书》。如发现货物和规格或者两者都与采购文件、响应文件、合同不符，甲方有权限根据检验结果要求成交供应商立即更换或者提出索赔要求。（2）货物由乙方进行安装、调试，并承担因此发生的一切费用。完毕后，甲方应对货物的数量、质量、规格、性能等进行详细而全面的检验。乙方应向甲方提供详细的验收标准和验收手册。安装完毕后，证明货物以及安装质量无任何问题，由甲方组成的验收小组签署验收报告，作为付款凭据之一。（3）对安装有特殊要求的设备，乙方应在合同签订后10个工作日内以书面形式向甲方提出安装场地环境要求，甲方负责安装场地的准备。（4）由甲方使用部门组织验收小组进行项目履约验收，验收前将根据项目特点及校内规定制定验收方案，组织验收出具验收意见。 （5）项目验收过程中，乙方不认可验收意见的，可以向甲方出具甲方认可的第三方检测机构出具的书面检测报告，甲方可以根据实际情况决定是否接受，相关费用由乙方自行承担。</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联系人：向忆寒</w:t>
      </w:r>
    </w:p>
    <w:p>
      <w:pPr>
        <w:pStyle w:val="null5"/>
        <w:jc w:val="left"/>
      </w:pPr>
      <w:r>
        <w:rPr>
          <w:rFonts w:ascii="仿宋_GB2312" w:hAnsi="仿宋_GB2312" w:cs="仿宋_GB2312" w:eastAsia="仿宋_GB2312"/>
        </w:rPr>
        <w:t>联系电话：0531-82661880、18780039059</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邮编：250014</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采购包1：本采购包需要提交样品，并进行样品评审</w:t>
      </w:r>
    </w:p>
    <w:p>
      <w:pPr>
        <w:pStyle w:val="null5"/>
        <w:ind w:firstLine="1350"/>
        <w:jc w:val="left"/>
      </w:pPr>
      <w:r>
        <w:rPr>
          <w:rFonts w:ascii="仿宋_GB2312" w:hAnsi="仿宋_GB2312" w:cs="仿宋_GB2312" w:eastAsia="仿宋_GB2312"/>
        </w:rPr>
        <w:t>提交样品时间：2026-05-07 13:30:00</w:t>
      </w:r>
    </w:p>
    <w:p>
      <w:pPr>
        <w:pStyle w:val="null5"/>
        <w:ind w:firstLine="1350"/>
        <w:jc w:val="left"/>
      </w:pPr>
      <w:r>
        <w:rPr>
          <w:rFonts w:ascii="仿宋_GB2312" w:hAnsi="仿宋_GB2312" w:cs="仿宋_GB2312" w:eastAsia="仿宋_GB2312"/>
        </w:rPr>
        <w:t>提交样品地点：山东省济南市历下区华润置地广场6号楼27层2701会议室</w:t>
      </w:r>
    </w:p>
    <w:p>
      <w:pPr>
        <w:pStyle w:val="null5"/>
        <w:ind w:firstLine="1350"/>
        <w:jc w:val="left"/>
      </w:pPr>
      <w:r>
        <w:rPr>
          <w:rFonts w:ascii="仿宋_GB2312" w:hAnsi="仿宋_GB2312" w:cs="仿宋_GB2312" w:eastAsia="仿宋_GB2312"/>
        </w:rPr>
        <w:t>提交样品数量：1</w:t>
      </w:r>
    </w:p>
    <w:p>
      <w:pPr>
        <w:pStyle w:val="null5"/>
        <w:ind w:firstLine="1350"/>
        <w:jc w:val="left"/>
      </w:pPr>
      <w:r>
        <w:rPr>
          <w:rFonts w:ascii="仿宋_GB2312" w:hAnsi="仿宋_GB2312" w:cs="仿宋_GB2312" w:eastAsia="仿宋_GB2312"/>
        </w:rPr>
        <w:t>提交样品要求：1、样品提交截止时间同本项目投标截止时间，逾期不再接收，样品递交联系人及联系方式：向忆寒0531-82661880、18780039059。2、样品提交数量：提供布帘、纱帘、轨道（含滑轮）、百叶帘、卷帘一套，尺寸不限。3、供应商所带样品在确定成交供应商后，样品封存，作为实际供货时的验收标准之一。</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259,781.00</w:t>
      </w:r>
    </w:p>
    <w:p>
      <w:pPr>
        <w:pStyle w:val="null5"/>
        <w:jc w:val="left"/>
      </w:pPr>
      <w:r>
        <w:rPr>
          <w:rFonts w:ascii="仿宋_GB2312" w:hAnsi="仿宋_GB2312" w:cs="仿宋_GB2312" w:eastAsia="仿宋_GB2312"/>
        </w:rPr>
        <w:t>采购包最高限价（元）: 259,781.00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窗帘（布帘、纱帘、轨道、百叶帘、卷帘）</w:t>
            </w:r>
          </w:p>
        </w:tc>
        <w:tc>
          <w:tcPr>
            <w:tcW w:type="dxa" w:w="923"/>
          </w:tcPr>
          <w:p>
            <w:pPr>
              <w:pStyle w:val="null5"/>
              <w:jc w:val="right"/>
            </w:pPr>
            <w:r>
              <w:rPr>
                <w:rFonts w:ascii="仿宋_GB2312" w:hAnsi="仿宋_GB2312" w:cs="仿宋_GB2312" w:eastAsia="仿宋_GB2312"/>
              </w:rPr>
              <w:t>1.00（批）</w:t>
            </w:r>
          </w:p>
        </w:tc>
        <w:tc>
          <w:tcPr>
            <w:tcW w:type="dxa" w:w="923"/>
          </w:tcPr>
          <w:p>
            <w:pPr>
              <w:pStyle w:val="null5"/>
              <w:jc w:val="right"/>
            </w:pPr>
            <w:r>
              <w:rPr>
                <w:rFonts w:ascii="仿宋_GB2312" w:hAnsi="仿宋_GB2312" w:cs="仿宋_GB2312" w:eastAsia="仿宋_GB2312"/>
              </w:rPr>
              <w:t>259,781.00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窗帘（布帘、纱帘、轨道、百叶帘、卷帘）</w:t>
            </w:r>
          </w:p>
        </w:tc>
        <w:tc>
          <w:tcPr>
            <w:tcW w:type="dxa" w:w="554"/>
          </w:tcPr>
          <w:p>
            <w:pPr>
              <w:pStyle w:val="null5"/>
              <w:jc w:val="left"/>
            </w:pPr>
            <w:r>
              <w:rPr>
                <w:rFonts w:ascii="仿宋_GB2312" w:hAnsi="仿宋_GB2312" w:cs="仿宋_GB2312" w:eastAsia="仿宋_GB2312"/>
              </w:rPr>
              <w:t>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259,781.00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本项目采购布帘1046.93米，纱帘212.3米，轨道629米，百叶帘627.5平方，卷帘313.95平方，详见附件采购清单</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窗帘（布帘、纱帘、轨道、百叶帘、卷帘）</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窗帘（布帘、纱帘、轨道、百叶帘、卷帘）</w:t>
            </w:r>
          </w:p>
        </w:tc>
        <w:tc>
          <w:tcPr>
            <w:tcW w:type="dxa" w:w="2076"/>
          </w:tcPr>
          <w:p>
            <w:pPr>
              <w:pStyle w:val="null5"/>
              <w:jc w:val="left"/>
            </w:pPr>
            <w:r>
              <w:rPr>
                <w:rFonts w:ascii="仿宋_GB2312" w:hAnsi="仿宋_GB2312" w:cs="仿宋_GB2312" w:eastAsia="仿宋_GB2312"/>
              </w:rPr>
              <w:t>最后总报价在第一次报价的基础上进行整体浮动，供应商响应文件中的所有单价、合价均按同一比例浮动。</w:t>
            </w:r>
          </w:p>
        </w:tc>
        <w:tc>
          <w:tcPr>
            <w:tcW w:type="dxa" w:w="415"/>
          </w:tcPr>
          <w:p>
            <w:pPr>
              <w:pStyle w:val="null5"/>
              <w:jc w:val="left"/>
            </w:pPr>
            <w:r>
              <w:rPr>
                <w:rFonts w:ascii="仿宋_GB2312" w:hAnsi="仿宋_GB2312" w:cs="仿宋_GB2312" w:eastAsia="仿宋_GB2312"/>
              </w:rPr>
              <w:t>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259,781.00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本项目采购布帘1046.93米，纱帘212.3米，轨道629米，百叶帘627.5平方，卷帘313.95平方，详见附件采购清单</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标的名称：窗帘（布帘、纱帘、轨道、百叶帘、卷帘）</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1.布帘</w:t>
            </w:r>
          </w:p>
        </w:tc>
        <w:tc>
          <w:tcPr>
            <w:tcW w:type="dxa" w:w="2076"/>
          </w:tcPr>
          <w:p>
            <w:pPr>
              <w:pStyle w:val="null5"/>
              <w:jc w:val="left"/>
            </w:pPr>
            <w:r>
              <w:rPr>
                <w:rFonts w:ascii="仿宋_GB2312" w:hAnsi="仿宋_GB2312" w:cs="仿宋_GB2312" w:eastAsia="仿宋_GB2312"/>
              </w:rPr>
              <w:t>手动开合布帘，以下为布帘技术参数：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布纱帘材质</w:t>
            </w:r>
          </w:p>
        </w:tc>
        <w:tc>
          <w:tcPr>
            <w:tcW w:type="dxa" w:w="2076"/>
          </w:tcPr>
          <w:p>
            <w:pPr>
              <w:pStyle w:val="null5"/>
              <w:jc w:val="left"/>
            </w:pPr>
            <w:r>
              <w:rPr>
                <w:rFonts w:ascii="仿宋_GB2312" w:hAnsi="仿宋_GB2312" w:cs="仿宋_GB2312" w:eastAsia="仿宋_GB2312"/>
              </w:rPr>
              <w:t>亚麻遮光面料100%聚酯纤维材质。</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布帘及纱帘单位面积质量（克重量）</w:t>
            </w:r>
          </w:p>
        </w:tc>
        <w:tc>
          <w:tcPr>
            <w:tcW w:type="dxa" w:w="2076"/>
          </w:tcPr>
          <w:p>
            <w:pPr>
              <w:pStyle w:val="null5"/>
              <w:jc w:val="left"/>
            </w:pPr>
            <w:r>
              <w:rPr>
                <w:rFonts w:ascii="仿宋_GB2312" w:hAnsi="仿宋_GB2312" w:cs="仿宋_GB2312" w:eastAsia="仿宋_GB2312"/>
              </w:rPr>
              <w:t>布帘单位面积质量（克重量）≥420（g/m2）纱帘单位面积质量（克重量）≥160（g/m2）</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布帘断裂强力（N）</w:t>
            </w:r>
          </w:p>
        </w:tc>
        <w:tc>
          <w:tcPr>
            <w:tcW w:type="dxa" w:w="2076"/>
          </w:tcPr>
          <w:p>
            <w:pPr>
              <w:pStyle w:val="null5"/>
              <w:jc w:val="left"/>
            </w:pPr>
            <w:r>
              <w:rPr>
                <w:rFonts w:ascii="仿宋_GB2312" w:hAnsi="仿宋_GB2312" w:cs="仿宋_GB2312" w:eastAsia="仿宋_GB2312"/>
              </w:rPr>
              <w:t>≥经向1800，纬向1800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撕破强力（N）</w:t>
            </w:r>
          </w:p>
        </w:tc>
        <w:tc>
          <w:tcPr>
            <w:tcW w:type="dxa" w:w="2076"/>
          </w:tcPr>
          <w:p>
            <w:pPr>
              <w:pStyle w:val="null5"/>
              <w:jc w:val="left"/>
            </w:pPr>
            <w:r>
              <w:rPr>
                <w:rFonts w:ascii="仿宋_GB2312" w:hAnsi="仿宋_GB2312" w:cs="仿宋_GB2312" w:eastAsia="仿宋_GB2312"/>
              </w:rPr>
              <w:t>≥经向64+，纬向64+e.</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倍褶</w:t>
            </w:r>
          </w:p>
        </w:tc>
        <w:tc>
          <w:tcPr>
            <w:tcW w:type="dxa" w:w="2076"/>
          </w:tcPr>
          <w:p>
            <w:pPr>
              <w:pStyle w:val="null5"/>
              <w:jc w:val="left"/>
            </w:pPr>
            <w:r>
              <w:rPr>
                <w:rFonts w:ascii="仿宋_GB2312" w:hAnsi="仿宋_GB2312" w:cs="仿宋_GB2312" w:eastAsia="仿宋_GB2312"/>
              </w:rPr>
              <w:t>2.0倍</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符合国家行业标准</w:t>
            </w:r>
          </w:p>
        </w:tc>
        <w:tc>
          <w:tcPr>
            <w:tcW w:type="dxa" w:w="2076"/>
          </w:tcPr>
          <w:p>
            <w:pPr>
              <w:pStyle w:val="null5"/>
              <w:jc w:val="left"/>
            </w:pPr>
            <w:r>
              <w:rPr>
                <w:rFonts w:ascii="仿宋_GB2312" w:hAnsi="仿宋_GB2312" w:cs="仿宋_GB2312" w:eastAsia="仿宋_GB2312"/>
              </w:rPr>
              <w:t>甲醛含量、pH值、异味、可分解致癌芳香胺染料、耐酸汗渍色牢度、耐碱汗渍色牢度、耐水色牢度、耐摩擦色牢度（干摩）、耐摩擦色牢度（湿摩）、耐光色牢度、断裂强力、撕破强力、干洗尺寸变化率、水洗尺寸变化率、单位面积质量（克重量）、纤维含量、沾水性、静电电压、静电压半衰期、酚黄变、阻燃性能（B1级）、可萃取重金属【铝、铬（六价）、汞、镍、砷、钴、铜、锑、铬】、抗菌性能符合国家行业标准。</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面料</w:t>
            </w:r>
          </w:p>
        </w:tc>
        <w:tc>
          <w:tcPr>
            <w:tcW w:type="dxa" w:w="2076"/>
          </w:tcPr>
          <w:p>
            <w:pPr>
              <w:pStyle w:val="null5"/>
              <w:jc w:val="left"/>
            </w:pPr>
            <w:r>
              <w:rPr>
                <w:rFonts w:ascii="仿宋_GB2312" w:hAnsi="仿宋_GB2312" w:cs="仿宋_GB2312" w:eastAsia="仿宋_GB2312"/>
              </w:rPr>
              <w:t>永久性阻燃遮光布面料，面料成分：纱线阻燃、100%永久阻燃聚酯纤维。</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面料要求达到阻燃等级</w:t>
            </w:r>
          </w:p>
        </w:tc>
        <w:tc>
          <w:tcPr>
            <w:tcW w:type="dxa" w:w="2076"/>
          </w:tcPr>
          <w:p>
            <w:pPr>
              <w:pStyle w:val="null5"/>
              <w:jc w:val="left"/>
            </w:pPr>
            <w:r>
              <w:rPr>
                <w:rFonts w:ascii="仿宋_GB2312" w:hAnsi="仿宋_GB2312" w:cs="仿宋_GB2312" w:eastAsia="仿宋_GB2312"/>
              </w:rPr>
              <w:t>GB/T17591-2025《阻燃织物》装饰用织物阻燃B1级；要求水洗≥30次后阻燃性能仍达到相关阻燃标准等级。</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制作工艺</w:t>
            </w:r>
          </w:p>
        </w:tc>
        <w:tc>
          <w:tcPr>
            <w:tcW w:type="dxa" w:w="2076"/>
          </w:tcPr>
          <w:p>
            <w:pPr>
              <w:pStyle w:val="null5"/>
              <w:jc w:val="left"/>
            </w:pPr>
            <w:r>
              <w:rPr>
                <w:rFonts w:ascii="仿宋_GB2312" w:hAnsi="仿宋_GB2312" w:cs="仿宋_GB2312" w:eastAsia="仿宋_GB2312"/>
              </w:rPr>
              <w:t>高温定型</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2.纱帘</w:t>
            </w:r>
          </w:p>
        </w:tc>
        <w:tc>
          <w:tcPr>
            <w:tcW w:type="dxa" w:w="2076"/>
          </w:tcPr>
          <w:p>
            <w:pPr>
              <w:pStyle w:val="null5"/>
              <w:jc w:val="left"/>
            </w:pPr>
            <w:r>
              <w:rPr>
                <w:rFonts w:ascii="仿宋_GB2312" w:hAnsi="仿宋_GB2312" w:cs="仿宋_GB2312" w:eastAsia="仿宋_GB2312"/>
              </w:rPr>
              <w:t>以下为纱帘技术参数：</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透光率</w:t>
            </w:r>
          </w:p>
        </w:tc>
        <w:tc>
          <w:tcPr>
            <w:tcW w:type="dxa" w:w="2076"/>
          </w:tcPr>
          <w:p>
            <w:pPr>
              <w:pStyle w:val="null5"/>
              <w:jc w:val="left"/>
            </w:pPr>
            <w:r>
              <w:rPr>
                <w:rFonts w:ascii="仿宋_GB2312" w:hAnsi="仿宋_GB2312" w:cs="仿宋_GB2312" w:eastAsia="仿宋_GB2312"/>
              </w:rPr>
              <w:t>0.6</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克重</w:t>
            </w:r>
          </w:p>
        </w:tc>
        <w:tc>
          <w:tcPr>
            <w:tcW w:type="dxa" w:w="2076"/>
          </w:tcPr>
          <w:p>
            <w:pPr>
              <w:pStyle w:val="null5"/>
              <w:jc w:val="left"/>
            </w:pPr>
            <w:r>
              <w:rPr>
                <w:rFonts w:ascii="仿宋_GB2312" w:hAnsi="仿宋_GB2312" w:cs="仿宋_GB2312" w:eastAsia="仿宋_GB2312"/>
              </w:rPr>
              <w:t>≥200g/㎡</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垂感</w:t>
            </w:r>
          </w:p>
        </w:tc>
        <w:tc>
          <w:tcPr>
            <w:tcW w:type="dxa" w:w="2076"/>
          </w:tcPr>
          <w:p>
            <w:pPr>
              <w:pStyle w:val="null5"/>
              <w:jc w:val="left"/>
            </w:pPr>
            <w:r>
              <w:rPr>
                <w:rFonts w:ascii="仿宋_GB2312" w:hAnsi="仿宋_GB2312" w:cs="仿宋_GB2312" w:eastAsia="仿宋_GB2312"/>
              </w:rPr>
              <w:t>需具备良好垂感，避免轻薄易飘。</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材质</w:t>
            </w:r>
          </w:p>
        </w:tc>
        <w:tc>
          <w:tcPr>
            <w:tcW w:type="dxa" w:w="2076"/>
          </w:tcPr>
          <w:p>
            <w:pPr>
              <w:pStyle w:val="null5"/>
              <w:jc w:val="left"/>
            </w:pPr>
            <w:r>
              <w:rPr>
                <w:rFonts w:ascii="仿宋_GB2312" w:hAnsi="仿宋_GB2312" w:cs="仿宋_GB2312" w:eastAsia="仿宋_GB2312"/>
              </w:rPr>
              <w:t>100%涤纶，纹理：网格、花纹等，可根据设计需求选择。</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有害物质含量</w:t>
            </w:r>
          </w:p>
        </w:tc>
        <w:tc>
          <w:tcPr>
            <w:tcW w:type="dxa" w:w="2076"/>
          </w:tcPr>
          <w:p>
            <w:pPr>
              <w:pStyle w:val="null5"/>
              <w:jc w:val="left"/>
            </w:pPr>
            <w:r>
              <w:rPr>
                <w:rFonts w:ascii="仿宋_GB2312" w:hAnsi="仿宋_GB2312" w:cs="仿宋_GB2312" w:eastAsia="仿宋_GB2312"/>
              </w:rPr>
              <w:t>甲醛、铅、锑、汞等含量需符合国家标准（如甲醛&lt;30mg/㎡）。</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加工工艺</w:t>
            </w:r>
          </w:p>
        </w:tc>
        <w:tc>
          <w:tcPr>
            <w:tcW w:type="dxa" w:w="2076"/>
          </w:tcPr>
          <w:p>
            <w:pPr>
              <w:pStyle w:val="null5"/>
              <w:jc w:val="left"/>
            </w:pPr>
            <w:r>
              <w:rPr>
                <w:rFonts w:ascii="仿宋_GB2312" w:hAnsi="仿宋_GB2312" w:cs="仿宋_GB2312" w:eastAsia="仿宋_GB2312"/>
              </w:rPr>
              <w:t>成品两侧边采用热切封边工艺，防止毛边。</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配件质量</w:t>
            </w:r>
          </w:p>
        </w:tc>
        <w:tc>
          <w:tcPr>
            <w:tcW w:type="dxa" w:w="2076"/>
          </w:tcPr>
          <w:p>
            <w:pPr>
              <w:pStyle w:val="null5"/>
              <w:jc w:val="left"/>
            </w:pPr>
            <w:r>
              <w:rPr>
                <w:rFonts w:ascii="仿宋_GB2312" w:hAnsi="仿宋_GB2312" w:cs="仿宋_GB2312" w:eastAsia="仿宋_GB2312"/>
              </w:rPr>
              <w:t>轨道滑轨需静音，摩擦系数小于0.01。</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颜色与外观</w:t>
            </w:r>
          </w:p>
        </w:tc>
        <w:tc>
          <w:tcPr>
            <w:tcW w:type="dxa" w:w="2076"/>
          </w:tcPr>
          <w:p>
            <w:pPr>
              <w:pStyle w:val="null5"/>
              <w:jc w:val="left"/>
            </w:pPr>
            <w:r>
              <w:rPr>
                <w:rFonts w:ascii="仿宋_GB2312" w:hAnsi="仿宋_GB2312" w:cs="仿宋_GB2312" w:eastAsia="仿宋_GB2312"/>
              </w:rPr>
              <w:t>白色、淡黄色等轻柔颜色。</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面料要求达到阻燃等级</w:t>
            </w:r>
          </w:p>
        </w:tc>
        <w:tc>
          <w:tcPr>
            <w:tcW w:type="dxa" w:w="2076"/>
          </w:tcPr>
          <w:p>
            <w:pPr>
              <w:pStyle w:val="null5"/>
              <w:jc w:val="left"/>
            </w:pPr>
            <w:r>
              <w:rPr>
                <w:rFonts w:ascii="仿宋_GB2312" w:hAnsi="仿宋_GB2312" w:cs="仿宋_GB2312" w:eastAsia="仿宋_GB2312"/>
              </w:rPr>
              <w:t>GB/T17591-2025《阻燃织物》装饰用织物阻燃B1级；要求水洗≥30次后阻燃性能仍达到相关阻燃标准等级。</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3.轨道</w:t>
            </w:r>
          </w:p>
        </w:tc>
        <w:tc>
          <w:tcPr>
            <w:tcW w:type="dxa" w:w="2076"/>
          </w:tcPr>
          <w:p>
            <w:pPr>
              <w:pStyle w:val="null5"/>
              <w:jc w:val="left"/>
            </w:pPr>
            <w:r>
              <w:rPr>
                <w:rFonts w:ascii="仿宋_GB2312" w:hAnsi="仿宋_GB2312" w:cs="仿宋_GB2312" w:eastAsia="仿宋_GB2312"/>
              </w:rPr>
              <w:t>手动轨道，以下为轨道技术参数：</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材质</w:t>
            </w:r>
          </w:p>
        </w:tc>
        <w:tc>
          <w:tcPr>
            <w:tcW w:type="dxa" w:w="2076"/>
          </w:tcPr>
          <w:p>
            <w:pPr>
              <w:pStyle w:val="null5"/>
              <w:jc w:val="left"/>
            </w:pPr>
            <w:r>
              <w:rPr>
                <w:rFonts w:ascii="仿宋_GB2312" w:hAnsi="仿宋_GB2312" w:cs="仿宋_GB2312" w:eastAsia="仿宋_GB2312"/>
              </w:rPr>
              <w:t>铝合金轨道材质为6063-T5铝合金，壁厚≥1.5mm，表面采用静电喷涂。</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滑轮</w:t>
            </w:r>
          </w:p>
        </w:tc>
        <w:tc>
          <w:tcPr>
            <w:tcW w:type="dxa" w:w="2076"/>
          </w:tcPr>
          <w:p>
            <w:pPr>
              <w:pStyle w:val="null5"/>
              <w:jc w:val="left"/>
            </w:pPr>
            <w:r>
              <w:rPr>
                <w:rFonts w:ascii="仿宋_GB2312" w:hAnsi="仿宋_GB2312" w:cs="仿宋_GB2312" w:eastAsia="仿宋_GB2312"/>
              </w:rPr>
              <w:t>采用尼龙+玻璃纤维高分子合成材料不低于PA6带自润滑材料。</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最大承载</w:t>
            </w:r>
          </w:p>
        </w:tc>
        <w:tc>
          <w:tcPr>
            <w:tcW w:type="dxa" w:w="2076"/>
          </w:tcPr>
          <w:p>
            <w:pPr>
              <w:pStyle w:val="null5"/>
              <w:jc w:val="left"/>
            </w:pPr>
            <w:r>
              <w:rPr>
                <w:rFonts w:ascii="仿宋_GB2312" w:hAnsi="仿宋_GB2312" w:cs="仿宋_GB2312" w:eastAsia="仿宋_GB2312"/>
              </w:rPr>
              <w:t>在总长6米内的长度有一个90度弯时最大承载不得小于20kg。</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检测标准</w:t>
            </w:r>
          </w:p>
        </w:tc>
        <w:tc>
          <w:tcPr>
            <w:tcW w:type="dxa" w:w="2076"/>
          </w:tcPr>
          <w:p>
            <w:pPr>
              <w:pStyle w:val="null5"/>
              <w:jc w:val="left"/>
            </w:pPr>
            <w:r>
              <w:rPr>
                <w:rFonts w:ascii="仿宋_GB2312" w:hAnsi="仿宋_GB2312" w:cs="仿宋_GB2312" w:eastAsia="仿宋_GB2312"/>
              </w:rPr>
              <w:t>须符合GB/T6892-2023检测标准。</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4.百叶帘</w:t>
            </w:r>
          </w:p>
        </w:tc>
        <w:tc>
          <w:tcPr>
            <w:tcW w:type="dxa" w:w="2076"/>
          </w:tcPr>
          <w:p>
            <w:pPr>
              <w:pStyle w:val="null5"/>
              <w:jc w:val="left"/>
            </w:pPr>
            <w:r>
              <w:rPr>
                <w:rFonts w:ascii="仿宋_GB2312" w:hAnsi="仿宋_GB2312" w:cs="仿宋_GB2312" w:eastAsia="仿宋_GB2312"/>
              </w:rPr>
              <w:t>铝合金百叶帘，以下为百叶帘技术参数：</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叶片厚度</w:t>
            </w:r>
          </w:p>
        </w:tc>
        <w:tc>
          <w:tcPr>
            <w:tcW w:type="dxa" w:w="2076"/>
          </w:tcPr>
          <w:p>
            <w:pPr>
              <w:pStyle w:val="null5"/>
              <w:jc w:val="left"/>
            </w:pPr>
            <w:r>
              <w:rPr>
                <w:rFonts w:ascii="仿宋_GB2312" w:hAnsi="仿宋_GB2312" w:cs="仿宋_GB2312" w:eastAsia="仿宋_GB2312"/>
              </w:rPr>
              <w:t>符合国家标准《建筑用通风百叶窗技术要求》（GB/T39968-2021），铝叶片厚度≥1.2mm。</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框料厚度</w:t>
            </w:r>
          </w:p>
        </w:tc>
        <w:tc>
          <w:tcPr>
            <w:tcW w:type="dxa" w:w="2076"/>
          </w:tcPr>
          <w:p>
            <w:pPr>
              <w:pStyle w:val="null5"/>
              <w:jc w:val="left"/>
            </w:pPr>
            <w:r>
              <w:rPr>
                <w:rFonts w:ascii="仿宋_GB2312" w:hAnsi="仿宋_GB2312" w:cs="仿宋_GB2312" w:eastAsia="仿宋_GB2312"/>
              </w:rPr>
              <w:t>用于外墙的框料厚度≥1.8mm。</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材质与表面处理</w:t>
            </w:r>
          </w:p>
        </w:tc>
        <w:tc>
          <w:tcPr>
            <w:tcW w:type="dxa" w:w="2076"/>
          </w:tcPr>
          <w:p>
            <w:pPr>
              <w:pStyle w:val="null5"/>
              <w:jc w:val="left"/>
            </w:pPr>
            <w:r>
              <w:rPr>
                <w:rFonts w:ascii="仿宋_GB2312" w:hAnsi="仿宋_GB2312" w:cs="仿宋_GB2312" w:eastAsia="仿宋_GB2312"/>
              </w:rPr>
              <w:t>铝合金型材需符合国家标准，表面处理为电泳烤漆 以保证色泽均匀、耐候性好。</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叶片宽度</w:t>
            </w:r>
          </w:p>
        </w:tc>
        <w:tc>
          <w:tcPr>
            <w:tcW w:type="dxa" w:w="2076"/>
          </w:tcPr>
          <w:p>
            <w:pPr>
              <w:pStyle w:val="null5"/>
              <w:jc w:val="left"/>
            </w:pPr>
            <w:r>
              <w:rPr>
                <w:rFonts w:ascii="仿宋_GB2312" w:hAnsi="仿宋_GB2312" w:cs="仿宋_GB2312" w:eastAsia="仿宋_GB2312"/>
              </w:rPr>
              <w:t>35mm</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抗风性能</w:t>
            </w:r>
          </w:p>
        </w:tc>
        <w:tc>
          <w:tcPr>
            <w:tcW w:type="dxa" w:w="2076"/>
          </w:tcPr>
          <w:p>
            <w:pPr>
              <w:pStyle w:val="null5"/>
              <w:jc w:val="left"/>
            </w:pPr>
            <w:r>
              <w:rPr>
                <w:rFonts w:ascii="仿宋_GB2312" w:hAnsi="仿宋_GB2312" w:cs="仿宋_GB2312" w:eastAsia="仿宋_GB2312"/>
              </w:rPr>
              <w:t>最大承受风速大于25m/s。</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通风性能</w:t>
            </w:r>
          </w:p>
        </w:tc>
        <w:tc>
          <w:tcPr>
            <w:tcW w:type="dxa" w:w="2076"/>
          </w:tcPr>
          <w:p>
            <w:pPr>
              <w:pStyle w:val="null5"/>
              <w:jc w:val="left"/>
            </w:pPr>
            <w:r>
              <w:rPr>
                <w:rFonts w:ascii="仿宋_GB2312" w:hAnsi="仿宋_GB2312" w:cs="仿宋_GB2312" w:eastAsia="仿宋_GB2312"/>
              </w:rPr>
              <w:t>性能不低于：有效面积系数约为0.655，额定风量约24000m³/h。</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密封性能</w:t>
            </w:r>
          </w:p>
        </w:tc>
        <w:tc>
          <w:tcPr>
            <w:tcW w:type="dxa" w:w="2076"/>
          </w:tcPr>
          <w:p>
            <w:pPr>
              <w:pStyle w:val="null5"/>
              <w:jc w:val="left"/>
            </w:pPr>
            <w:r>
              <w:rPr>
                <w:rFonts w:ascii="仿宋_GB2312" w:hAnsi="仿宋_GB2312" w:cs="仿宋_GB2312" w:eastAsia="仿宋_GB2312"/>
              </w:rPr>
              <w:t>性能不低于：压差为42Pa时漏风量为255m³/h, 压差为282Pa时漏风量为887m³/h。</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控制方式</w:t>
            </w:r>
          </w:p>
        </w:tc>
        <w:tc>
          <w:tcPr>
            <w:tcW w:type="dxa" w:w="2076"/>
          </w:tcPr>
          <w:p>
            <w:pPr>
              <w:pStyle w:val="null5"/>
              <w:jc w:val="left"/>
            </w:pPr>
            <w:r>
              <w:rPr>
                <w:rFonts w:ascii="仿宋_GB2312" w:hAnsi="仿宋_GB2312" w:cs="仿宋_GB2312" w:eastAsia="仿宋_GB2312"/>
              </w:rPr>
              <w:t>手动控制：拉珠式</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外观质量</w:t>
            </w:r>
          </w:p>
        </w:tc>
        <w:tc>
          <w:tcPr>
            <w:tcW w:type="dxa" w:w="2076"/>
          </w:tcPr>
          <w:p>
            <w:pPr>
              <w:pStyle w:val="null5"/>
              <w:jc w:val="left"/>
            </w:pPr>
            <w:r>
              <w:rPr>
                <w:rFonts w:ascii="仿宋_GB2312" w:hAnsi="仿宋_GB2312" w:cs="仿宋_GB2312" w:eastAsia="仿宋_GB2312"/>
              </w:rPr>
              <w:t>表面应平整清洁，无明显划痕、变形或色差，连接部位平整，紧固件排列整齐。</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叶片形状</w:t>
            </w:r>
          </w:p>
        </w:tc>
        <w:tc>
          <w:tcPr>
            <w:tcW w:type="dxa" w:w="2076"/>
          </w:tcPr>
          <w:p>
            <w:pPr>
              <w:pStyle w:val="null5"/>
              <w:jc w:val="left"/>
            </w:pPr>
            <w:r>
              <w:rPr>
                <w:rFonts w:ascii="仿宋_GB2312" w:hAnsi="仿宋_GB2312" w:cs="仿宋_GB2312" w:eastAsia="仿宋_GB2312"/>
              </w:rPr>
              <w:t>部分叶片截面为圆弧形，以增加柔韧性和弹性，不易折弯。</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耐腐蚀</w:t>
            </w:r>
          </w:p>
        </w:tc>
        <w:tc>
          <w:tcPr>
            <w:tcW w:type="dxa" w:w="2076"/>
          </w:tcPr>
          <w:p>
            <w:pPr>
              <w:pStyle w:val="null5"/>
              <w:jc w:val="left"/>
            </w:pPr>
            <w:r>
              <w:rPr>
                <w:rFonts w:ascii="仿宋_GB2312" w:hAnsi="仿宋_GB2312" w:cs="仿宋_GB2312" w:eastAsia="仿宋_GB2312"/>
              </w:rPr>
              <w:t>应无锈迹、剥落、起皱、变色和失光等现象。</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5.卷帘</w:t>
            </w:r>
          </w:p>
        </w:tc>
        <w:tc>
          <w:tcPr>
            <w:tcW w:type="dxa" w:w="2076"/>
          </w:tcPr>
          <w:p>
            <w:pPr>
              <w:pStyle w:val="null5"/>
              <w:jc w:val="left"/>
            </w:pPr>
            <w:r>
              <w:rPr>
                <w:rFonts w:ascii="仿宋_GB2312" w:hAnsi="仿宋_GB2312" w:cs="仿宋_GB2312" w:eastAsia="仿宋_GB2312"/>
              </w:rPr>
              <w:t>以下为卷帘技术参数：</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性能</w:t>
            </w:r>
          </w:p>
        </w:tc>
        <w:tc>
          <w:tcPr>
            <w:tcW w:type="dxa" w:w="2076"/>
          </w:tcPr>
          <w:p>
            <w:pPr>
              <w:pStyle w:val="null5"/>
              <w:jc w:val="left"/>
            </w:pPr>
            <w:r>
              <w:rPr>
                <w:rFonts w:ascii="仿宋_GB2312" w:hAnsi="仿宋_GB2312" w:cs="仿宋_GB2312" w:eastAsia="仿宋_GB2312"/>
              </w:rPr>
              <w:t>面料环保型无污染，无飞边、易清洗、易消毒、耐擦、耐磨、抗静电，面料悬挂表面平整、不变形。</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面料成分</w:t>
            </w:r>
          </w:p>
        </w:tc>
        <w:tc>
          <w:tcPr>
            <w:tcW w:type="dxa" w:w="2076"/>
          </w:tcPr>
          <w:p>
            <w:pPr>
              <w:pStyle w:val="null5"/>
              <w:jc w:val="left"/>
            </w:pPr>
            <w:r>
              <w:rPr>
                <w:rFonts w:ascii="仿宋_GB2312" w:hAnsi="仿宋_GB2312" w:cs="仿宋_GB2312" w:eastAsia="仿宋_GB2312"/>
              </w:rPr>
              <w:t>30%聚酯纤维＋70%PVC ,后面加涂层。</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面料针织工艺</w:t>
            </w:r>
          </w:p>
        </w:tc>
        <w:tc>
          <w:tcPr>
            <w:tcW w:type="dxa" w:w="2076"/>
          </w:tcPr>
          <w:p>
            <w:pPr>
              <w:pStyle w:val="null5"/>
              <w:jc w:val="left"/>
            </w:pPr>
            <w:r>
              <w:rPr>
                <w:rFonts w:ascii="仿宋_GB2312" w:hAnsi="仿宋_GB2312" w:cs="仿宋_GB2312" w:eastAsia="仿宋_GB2312"/>
              </w:rPr>
              <w:t>采用双经双纬编织针织工艺，突出空间立体感。</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遮光率</w:t>
            </w:r>
          </w:p>
        </w:tc>
        <w:tc>
          <w:tcPr>
            <w:tcW w:type="dxa" w:w="2076"/>
          </w:tcPr>
          <w:p>
            <w:pPr>
              <w:pStyle w:val="null5"/>
              <w:jc w:val="left"/>
            </w:pPr>
            <w:r>
              <w:rPr>
                <w:rFonts w:ascii="仿宋_GB2312" w:hAnsi="仿宋_GB2312" w:cs="仿宋_GB2312" w:eastAsia="仿宋_GB2312"/>
              </w:rPr>
              <w:t>1</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面料厚度(mm)</w:t>
            </w:r>
          </w:p>
        </w:tc>
        <w:tc>
          <w:tcPr>
            <w:tcW w:type="dxa" w:w="2076"/>
          </w:tcPr>
          <w:p>
            <w:pPr>
              <w:pStyle w:val="null5"/>
              <w:jc w:val="left"/>
            </w:pPr>
            <w:r>
              <w:rPr>
                <w:rFonts w:ascii="仿宋_GB2312" w:hAnsi="仿宋_GB2312" w:cs="仿宋_GB2312" w:eastAsia="仿宋_GB2312"/>
              </w:rPr>
              <w:t>≥0.84mm</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面料克重(g/m2)</w:t>
            </w:r>
          </w:p>
        </w:tc>
        <w:tc>
          <w:tcPr>
            <w:tcW w:type="dxa" w:w="2076"/>
          </w:tcPr>
          <w:p>
            <w:pPr>
              <w:pStyle w:val="null5"/>
              <w:jc w:val="left"/>
            </w:pPr>
            <w:r>
              <w:rPr>
                <w:rFonts w:ascii="仿宋_GB2312" w:hAnsi="仿宋_GB2312" w:cs="仿宋_GB2312" w:eastAsia="仿宋_GB2312"/>
              </w:rPr>
              <w:t>≥663</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断裂强力（N）</w:t>
            </w:r>
          </w:p>
        </w:tc>
        <w:tc>
          <w:tcPr>
            <w:tcW w:type="dxa" w:w="2076"/>
          </w:tcPr>
          <w:p>
            <w:pPr>
              <w:pStyle w:val="null5"/>
              <w:jc w:val="left"/>
            </w:pPr>
            <w:r>
              <w:rPr>
                <w:rFonts w:ascii="仿宋_GB2312" w:hAnsi="仿宋_GB2312" w:cs="仿宋_GB2312" w:eastAsia="仿宋_GB2312"/>
              </w:rPr>
              <w:t>≥经向1420+，纬向1200+</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撕破强力（N）</w:t>
            </w:r>
          </w:p>
        </w:tc>
        <w:tc>
          <w:tcPr>
            <w:tcW w:type="dxa" w:w="2076"/>
          </w:tcPr>
          <w:p>
            <w:pPr>
              <w:pStyle w:val="null5"/>
              <w:jc w:val="left"/>
            </w:pPr>
            <w:r>
              <w:rPr>
                <w:rFonts w:ascii="仿宋_GB2312" w:hAnsi="仿宋_GB2312" w:cs="仿宋_GB2312" w:eastAsia="仿宋_GB2312"/>
              </w:rPr>
              <w:t>≥经向180+，纬向140+</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耐光色牢度</w:t>
            </w:r>
          </w:p>
        </w:tc>
        <w:tc>
          <w:tcPr>
            <w:tcW w:type="dxa" w:w="2076"/>
          </w:tcPr>
          <w:p>
            <w:pPr>
              <w:pStyle w:val="null5"/>
              <w:jc w:val="left"/>
            </w:pPr>
            <w:r>
              <w:rPr>
                <w:rFonts w:ascii="仿宋_GB2312" w:hAnsi="仿宋_GB2312" w:cs="仿宋_GB2312" w:eastAsia="仿宋_GB2312"/>
              </w:rPr>
              <w:t>ISO 105 B02 8级</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甲醛含量</w:t>
            </w:r>
          </w:p>
        </w:tc>
        <w:tc>
          <w:tcPr>
            <w:tcW w:type="dxa" w:w="2076"/>
          </w:tcPr>
          <w:p>
            <w:pPr>
              <w:pStyle w:val="null5"/>
              <w:jc w:val="left"/>
            </w:pPr>
            <w:r>
              <w:rPr>
                <w:rFonts w:ascii="仿宋_GB2312" w:hAnsi="仿宋_GB2312" w:cs="仿宋_GB2312" w:eastAsia="仿宋_GB2312"/>
              </w:rPr>
              <w:t>≤0ppm</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卷管</w:t>
            </w:r>
          </w:p>
        </w:tc>
        <w:tc>
          <w:tcPr>
            <w:tcW w:type="dxa" w:w="2076"/>
          </w:tcPr>
          <w:p>
            <w:pPr>
              <w:pStyle w:val="null5"/>
              <w:jc w:val="left"/>
            </w:pPr>
            <w:r>
              <w:rPr>
                <w:rFonts w:ascii="仿宋_GB2312" w:hAnsi="仿宋_GB2312" w:cs="仿宋_GB2312" w:eastAsia="仿宋_GB2312"/>
              </w:rPr>
              <w:t>≥φ38mm，壁厚≥1.5mm，材质为6063-T5铝合金，内有加强筋不易变形；加强筋不少于3道6筋的加工要求，高强度铝合金材质，表面阳极氧化处理，防锈防腐蚀。</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安装支架</w:t>
            </w:r>
          </w:p>
        </w:tc>
        <w:tc>
          <w:tcPr>
            <w:tcW w:type="dxa" w:w="2076"/>
          </w:tcPr>
          <w:p>
            <w:pPr>
              <w:pStyle w:val="null5"/>
              <w:jc w:val="left"/>
            </w:pPr>
            <w:r>
              <w:rPr>
                <w:rFonts w:ascii="仿宋_GB2312" w:hAnsi="仿宋_GB2312" w:cs="仿宋_GB2312" w:eastAsia="仿宋_GB2312"/>
              </w:rPr>
              <w:t>支架材质：65Mn优质合金钢板安装支架类型：通用载荷能力：≥ 150%于16.0平米常规窗帘总重；窗帘支架类型：分左右配置，支架为三维可调方式组配；表面电泳烤漆处理。</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底杆</w:t>
            </w:r>
          </w:p>
        </w:tc>
        <w:tc>
          <w:tcPr>
            <w:tcW w:type="dxa" w:w="2076"/>
          </w:tcPr>
          <w:p>
            <w:pPr>
              <w:pStyle w:val="null5"/>
              <w:jc w:val="left"/>
            </w:pPr>
            <w:r>
              <w:rPr>
                <w:rFonts w:ascii="仿宋_GB2312" w:hAnsi="仿宋_GB2312" w:cs="仿宋_GB2312" w:eastAsia="仿宋_GB2312"/>
              </w:rPr>
              <w:t>所用铝材质量符合《工业用铝合金热挤压型材标准》，重量≥320g/m，壁厚≥1.3mm，表面采用静电粉末喷涂，喷涂厚度为6U±1U，符合GB3380-83，下轨颜色与面料相配色，采用椭圆形形状，底杆两端采用封头工艺处理，采用压条均匀压入的方法，正底部不起皱；阻燃性能；损毁长度；经向≤150㎜，纬向≤150㎜；续燃时间；经向≤5s，纬向≤5s；阴燃时间；经向≤15s，纬向≤15s；熔融.滴落；经向--燃烧滴落物不引起燃烧或阴燃，纬向--燃烧滴落物不燃烧或阴燃。</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制头</w:t>
            </w:r>
          </w:p>
        </w:tc>
        <w:tc>
          <w:tcPr>
            <w:tcW w:type="dxa" w:w="2076"/>
          </w:tcPr>
          <w:p>
            <w:pPr>
              <w:pStyle w:val="null5"/>
              <w:jc w:val="left"/>
            </w:pPr>
            <w:r>
              <w:rPr>
                <w:rFonts w:ascii="仿宋_GB2312" w:hAnsi="仿宋_GB2312" w:cs="仿宋_GB2312" w:eastAsia="仿宋_GB2312"/>
              </w:rPr>
              <w:t>材质；ABS工程塑料。规格；6.5㎝*7.8㎝。卷帘制头内的抱闸装置采用碳素弹簧钢丝，采用棘轮变速机构，性能符合国标GB4357-2022,制造精度和极限偏差符合国标GB1239，抱闸装置的承载能力≥4.5kg，使用寿命≥3万次。</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拉珠</w:t>
            </w:r>
          </w:p>
        </w:tc>
        <w:tc>
          <w:tcPr>
            <w:tcW w:type="dxa" w:w="2076"/>
          </w:tcPr>
          <w:p>
            <w:pPr>
              <w:pStyle w:val="null5"/>
              <w:jc w:val="left"/>
            </w:pPr>
            <w:r>
              <w:rPr>
                <w:rFonts w:ascii="仿宋_GB2312" w:hAnsi="仿宋_GB2312" w:cs="仿宋_GB2312" w:eastAsia="仿宋_GB2312"/>
              </w:rPr>
              <w:t>珠扣材质；ABS工程塑料。于面料全面配色。耐磨，耐老化。拉珠颗粒圆润，间距均匀，表面光洁，不易退色，无毛刺感。</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卷管</w:t>
            </w:r>
          </w:p>
        </w:tc>
        <w:tc>
          <w:tcPr>
            <w:tcW w:type="dxa" w:w="2076"/>
          </w:tcPr>
          <w:p>
            <w:pPr>
              <w:pStyle w:val="null5"/>
              <w:jc w:val="left"/>
            </w:pPr>
            <w:r>
              <w:rPr>
                <w:rFonts w:ascii="仿宋_GB2312" w:hAnsi="仿宋_GB2312" w:cs="仿宋_GB2312" w:eastAsia="仿宋_GB2312"/>
              </w:rPr>
              <w:t>铝合金材质，直径为38mm，壁厚1.8mm，卷管内不少于6条加强筋。卷管表面有结构凹槽，帘布热频高压烫边处理，直接插入此凹槽，保证面料与卷筒连接的可靠性。</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采购清单</w:t>
            </w:r>
          </w:p>
        </w:tc>
        <w:tc>
          <w:tcPr>
            <w:tcW w:type="dxa" w:w="2076"/>
          </w:tcPr>
          <w:p>
            <w:pPr>
              <w:pStyle w:val="null5"/>
              <w:jc w:val="left"/>
            </w:pPr>
            <w:r>
              <w:rPr>
                <w:rFonts w:ascii="仿宋_GB2312" w:hAnsi="仿宋_GB2312" w:cs="仿宋_GB2312" w:eastAsia="仿宋_GB2312"/>
              </w:rPr>
              <w:t>本项目采购清单详见附件</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质保要求：所有产品五年质保终生维护。质保期内，除人为损坏，如划破、钩破、宠物抓咬、水洗不当、暴晒；正常损耗：轻微褪色、日常灰尘、自然下垂、正常磨损；使用不当：强力拉扯、超重挂物、安装位置错误；不可抗力：火灾、水灾、地震等情况以外，对产品进行五年质保。五年内产品出现：面料：开线、脱丝、大面积掉色、破损（非人为）等；五金及配件：轨道变形、断裂、松动脱落、拉珠变性脱落撕脱断裂等；工艺：缝合开裂、布带脱落、铅块脱落等情况，应给予免费更换及维修。超出五年质保期，按市场价格收取人工及配件成本费用。</w:t>
            </w:r>
          </w:p>
        </w:tc>
        <w:tc>
          <w:tcPr>
            <w:tcW w:type="dxa" w:w="4153"/>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签订合同后，接采购人通知之日起20日内交货安装调试并验收合格。</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1、在合同签订生效且具备实施条件后，成交供应商向项目负责人或指定人申请预付款，达到付款条件起10日，支付合同总金额的30.00%</w:t>
            </w:r>
          </w:p>
          <w:p>
            <w:pPr>
              <w:pStyle w:val="null5"/>
              <w:jc w:val="left"/>
            </w:pPr>
            <w:r>
              <w:rPr>
                <w:rFonts w:ascii="仿宋_GB2312" w:hAnsi="仿宋_GB2312" w:cs="仿宋_GB2312" w:eastAsia="仿宋_GB2312"/>
              </w:rPr>
              <w:t>2、项目验收合格后，达到付款条件起10日，支付合同总金额的70.00%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缴纳比例：银行转账，支票/汇票/本票，保函/保险</w:t>
            </w:r>
          </w:p>
          <w:p>
            <w:pPr>
              <w:pStyle w:val="null5"/>
              <w:jc w:val="left"/>
            </w:pPr>
            <w:r>
              <w:rPr>
                <w:rFonts w:ascii="仿宋_GB2312" w:hAnsi="仿宋_GB2312" w:cs="仿宋_GB2312" w:eastAsia="仿宋_GB2312"/>
              </w:rPr>
              <w:t>缴纳方式：5</w:t>
            </w:r>
          </w:p>
          <w:p>
            <w:pPr>
              <w:pStyle w:val="null5"/>
              <w:jc w:val="left"/>
            </w:pPr>
            <w:r>
              <w:rPr>
                <w:rFonts w:ascii="仿宋_GB2312" w:hAnsi="仿宋_GB2312" w:cs="仿宋_GB2312" w:eastAsia="仿宋_GB2312"/>
              </w:rPr>
              <w:t>缴纳说明：1、各供应商应在商务应答表中确认履约保证金的缴纳方式，请在银行转账与汇票两种方式中任选一种。2、若成交供应商提供了符合要求的《中小企业声明函》，履约保证金为合同金额的2%。3、项目验收前，成交供应商应配送、安装、调试完成合同项下所有货物，达到正常使用状态，否则采购人有权拒绝验收，由此造成的法律责任、各种损失由成交供应商承担。4、履约保证金在货物验收合格，没有任何质量问题后，由成交供应商向采购人提交申请，采购人按相关规定无息退还给供应商。5、履约保证金缴纳信息：开户单位：山东第一医科大学；开户银行：中国农业银行股份有限公司济南槐荫支行；账号：15126101040096666；大额支付行号：103451012615。</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投报产品中既有本国产品又有非本国产品参与竞争的，对符合条件的本国产品报价或全部产品总报价给予20%的价格扣除，用扣除后的价格参与评审。符合条件的供应商应当在参加政府采购活动时，提供国办发[2025]34号规定的《关于符合本国产品标准的声明函》；如采购项目或者采购包中含有多种产品时，供应商还应同时提供所投符合本国产品标准的产品成本之和占其提供的全部产品成本之和比例是否达到80%的承诺函，并对声明、承诺的真实性负责。未达到相应比例或未提供声明函、承诺函或声明函、承诺函内容不符合上述相关要求的，评审时不享受本国产品优惠政策。：</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供应商须具有独立承担民事责任的能力，向采购人提供货物和服务的法人、其他组织或自然人，须提供相关证明材料，其中： 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营业执照等证明文件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 提供2024年/2025年财务会计报表，或2024年/2025年经审计的财务报告（包括资产负债表、利润表、现金流量表），或首次响应文件递交截止时间前六个月内基本开户银行出具的资信证明； 成立时间较短的供应商，可提供成立至今的相关证明材料。</w:t>
            </w:r>
          </w:p>
        </w:tc>
        <w:tc>
          <w:tcPr>
            <w:tcW w:type="dxa" w:w="1661"/>
          </w:tcPr>
          <w:p>
            <w:pPr>
              <w:pStyle w:val="null5"/>
              <w:jc w:val="left"/>
            </w:pPr>
            <w:r>
              <w:rPr>
                <w:rFonts w:ascii="仿宋_GB2312" w:hAnsi="仿宋_GB2312" w:cs="仿宋_GB2312" w:eastAsia="仿宋_GB2312"/>
              </w:rPr>
              <w:t>具有良好的商业信誉和健全的财务会计制度信用承诺函或相关证明材料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供应商须具有履行合同所必需的设备和专业技术能力，须附信用承诺函或相关证明材料。</w:t>
            </w:r>
          </w:p>
        </w:tc>
        <w:tc>
          <w:tcPr>
            <w:tcW w:type="dxa" w:w="1661"/>
          </w:tcPr>
          <w:p>
            <w:pPr>
              <w:pStyle w:val="null5"/>
              <w:jc w:val="left"/>
            </w:pPr>
            <w:r>
              <w:rPr>
                <w:rFonts w:ascii="仿宋_GB2312" w:hAnsi="仿宋_GB2312" w:cs="仿宋_GB2312" w:eastAsia="仿宋_GB2312"/>
              </w:rPr>
              <w:t>具有履行合同所必需的设备和专业技术能力承诺函或证明材料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 缴纳税收的证明材料，应提供首次响应文件递交截止时间前三个月内任意一个月的依法缴税凭据； 缴纳社会保障资金的证明材料，应提供首次响应文件递交截止时间前三个月内任意一个月的缴纳社会保险的凭据； 注：依法免税或不需要缴纳社会保障资金的供应商，须提供相应文件证明其依法免税或不需要缴纳社会保障资金。</w:t>
            </w:r>
          </w:p>
        </w:tc>
        <w:tc>
          <w:tcPr>
            <w:tcW w:type="dxa" w:w="1661"/>
          </w:tcPr>
          <w:p>
            <w:pPr>
              <w:pStyle w:val="null5"/>
              <w:jc w:val="left"/>
            </w:pPr>
            <w:r>
              <w:rPr>
                <w:rFonts w:ascii="仿宋_GB2312" w:hAnsi="仿宋_GB2312" w:cs="仿宋_GB2312" w:eastAsia="仿宋_GB2312"/>
              </w:rPr>
              <w:t>依法缴纳税收和社会保障资金承诺函或证明材料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近三年内（本项目首次响应文件递交截止日前）供应商在经营活动中没有重大违法记录，供应商须提供书面声明或信用承诺函。其中： 重大违法记录是指供应商因违法经营受到刑事处罚或者责令停产停业、吊销许可证或者执照、较大数额罚款等行政处罚。</w:t>
            </w:r>
          </w:p>
        </w:tc>
        <w:tc>
          <w:tcPr>
            <w:tcW w:type="dxa" w:w="1661"/>
          </w:tcPr>
          <w:p>
            <w:pPr>
              <w:pStyle w:val="null5"/>
              <w:jc w:val="left"/>
            </w:pPr>
            <w:r>
              <w:rPr>
                <w:rFonts w:ascii="仿宋_GB2312" w:hAnsi="仿宋_GB2312" w:cs="仿宋_GB2312" w:eastAsia="仿宋_GB2312"/>
              </w:rPr>
              <w:t>无重大违法记录的书面声明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信用查询是否存在不良记录</w:t>
            </w:r>
          </w:p>
        </w:tc>
        <w:tc>
          <w:tcPr>
            <w:tcW w:type="dxa" w:w="332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1661"/>
          </w:tcPr>
          <w:p>
            <w:pPr>
              <w:pStyle w:val="null5"/>
              <w:jc w:val="left"/>
            </w:pPr>
            <w:r>
              <w:rPr>
                <w:rFonts w:ascii="仿宋_GB2312" w:hAnsi="仿宋_GB2312" w:cs="仿宋_GB2312" w:eastAsia="仿宋_GB2312"/>
              </w:rPr>
              <w:t>信用查询截图</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单位负责人是否为同一人或者存在直接控股、管理关系</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单位负责人为同一人或者存在直接控股、管理关系的不同供应商，不得参加同一包的报价或者未划分包的同一项目的报价，供应商须提供书面声明。</w:t>
            </w:r>
          </w:p>
        </w:tc>
        <w:tc>
          <w:tcPr>
            <w:tcW w:type="dxa" w:w="1661"/>
          </w:tcPr>
          <w:p>
            <w:pPr>
              <w:pStyle w:val="null5"/>
              <w:jc w:val="left"/>
            </w:pPr>
            <w:r>
              <w:rPr>
                <w:rFonts w:ascii="仿宋_GB2312" w:hAnsi="仿宋_GB2312" w:cs="仿宋_GB2312" w:eastAsia="仿宋_GB2312"/>
              </w:rPr>
              <w:t>不存在关联关系书面声明</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投标人承诺函、符合性审查文件、封面、法定代表人资格证明书或法定代表人授权委托书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开标（报价）一览表、投标（响应）报价明细表、符合性审查文件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响应文件满足磋商文件中★号条款要求的。</w:t>
            </w:r>
          </w:p>
        </w:tc>
        <w:tc>
          <w:tcPr>
            <w:tcW w:type="dxa" w:w="1661"/>
          </w:tcPr>
          <w:p>
            <w:pPr>
              <w:pStyle w:val="null5"/>
              <w:jc w:val="left"/>
            </w:pPr>
            <w:r>
              <w:rPr>
                <w:rFonts w:ascii="仿宋_GB2312" w:hAnsi="仿宋_GB2312" w:cs="仿宋_GB2312" w:eastAsia="仿宋_GB2312"/>
              </w:rPr>
              <w:t>商务应答表、符合性审查文件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不存在以他人名义报价或者在响应文件中提供虚假材料的</w:t>
            </w:r>
          </w:p>
        </w:tc>
        <w:tc>
          <w:tcPr>
            <w:tcW w:type="dxa" w:w="3322"/>
          </w:tcPr>
          <w:p>
            <w:pPr>
              <w:pStyle w:val="null5"/>
              <w:jc w:val="left"/>
            </w:pPr>
            <w:r>
              <w:rPr>
                <w:rFonts w:ascii="仿宋_GB2312" w:hAnsi="仿宋_GB2312" w:cs="仿宋_GB2312" w:eastAsia="仿宋_GB2312"/>
              </w:rPr>
              <w:t>不存在以他人名义报价或者在响应文件中提供虚假材料的。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响应文件中不含有采购人不能接受的附加条件的。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被授权人社保证明材料</w:t>
            </w:r>
          </w:p>
        </w:tc>
        <w:tc>
          <w:tcPr>
            <w:tcW w:type="dxa" w:w="3322"/>
          </w:tcPr>
          <w:p>
            <w:pPr>
              <w:pStyle w:val="null5"/>
              <w:jc w:val="left"/>
            </w:pPr>
            <w:r>
              <w:rPr>
                <w:rFonts w:ascii="仿宋_GB2312" w:hAnsi="仿宋_GB2312" w:cs="仿宋_GB2312" w:eastAsia="仿宋_GB2312"/>
              </w:rPr>
              <w:t>非法定代表人参加磋商的，提供被授权人在本单位缴纳社保证明（响应文件提交截止时间前连续3个月，加盖本单位公章）</w:t>
            </w:r>
          </w:p>
        </w:tc>
        <w:tc>
          <w:tcPr>
            <w:tcW w:type="dxa" w:w="1661"/>
          </w:tcPr>
          <w:p>
            <w:pPr>
              <w:pStyle w:val="null5"/>
              <w:jc w:val="left"/>
            </w:pPr>
            <w:r>
              <w:rPr>
                <w:rFonts w:ascii="仿宋_GB2312" w:hAnsi="仿宋_GB2312" w:cs="仿宋_GB2312" w:eastAsia="仿宋_GB2312"/>
              </w:rPr>
              <w:t>被授权人社保证明材料、符合性审查文件</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六、在评审过程中，出现下列情形之一的，评审委员会应当启动异常低价投标（响应）审查程序：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前述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技术部分67.00分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报价得分30.00分</w:t>
            </w:r>
          </w:p>
          <w:p>
            <w:pPr>
              <w:pStyle w:val="null5"/>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技术要求响应评价</w:t>
            </w:r>
          </w:p>
        </w:tc>
        <w:tc>
          <w:tcPr>
            <w:tcW w:type="dxa" w:w="2575"/>
          </w:tcPr>
          <w:p>
            <w:pPr>
              <w:pStyle w:val="null5"/>
            </w:pPr>
            <w:r>
              <w:rPr>
                <w:rFonts w:ascii="仿宋_GB2312" w:hAnsi="仿宋_GB2312" w:cs="仿宋_GB2312" w:eastAsia="仿宋_GB2312"/>
              </w:rPr>
              <w:t>完全满足采购文件技术要求得满分27分，每存在一条要求负偏离扣0.5分，扣完为止；如果一条中有多项指标出现偏离，只计算一次。（提供检测报告等证明材料）</w:t>
            </w:r>
          </w:p>
        </w:tc>
        <w:tc>
          <w:tcPr>
            <w:tcW w:type="dxa" w:w="831"/>
          </w:tcPr>
          <w:p>
            <w:pPr>
              <w:pStyle w:val="null5"/>
              <w:jc w:val="center"/>
            </w:pPr>
            <w:r>
              <w:rPr>
                <w:rFonts w:ascii="仿宋_GB2312" w:hAnsi="仿宋_GB2312" w:cs="仿宋_GB2312" w:eastAsia="仿宋_GB2312"/>
              </w:rPr>
              <w:t>27.0000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技术参数响应表</w:t>
            </w:r>
          </w:p>
          <w:p>
            <w:pPr>
              <w:pStyle w:val="null5"/>
            </w:pPr>
            <w:r>
              <w:rPr>
                <w:rFonts w:ascii="仿宋_GB2312" w:hAnsi="仿宋_GB2312" w:cs="仿宋_GB2312" w:eastAsia="仿宋_GB2312"/>
              </w:rPr>
              <w:t>其他材料</w:t>
            </w:r>
          </w:p>
        </w:tc>
      </w:tr>
      <w:tr>
        <w:tc>
          <w:tcPr>
            <w:tcW w:type="dxa" w:w="831"/>
            <w:vMerge/>
          </w:tcPr>
          <w:p/>
        </w:tc>
        <w:tc>
          <w:tcPr>
            <w:tcW w:type="dxa" w:w="1661"/>
          </w:tcPr>
          <w:p>
            <w:pPr>
              <w:pStyle w:val="null5"/>
            </w:pPr>
            <w:r>
              <w:rPr>
                <w:rFonts w:ascii="仿宋_GB2312" w:hAnsi="仿宋_GB2312" w:cs="仿宋_GB2312" w:eastAsia="仿宋_GB2312"/>
              </w:rPr>
              <w:t>生产设备及工艺</w:t>
            </w:r>
          </w:p>
        </w:tc>
        <w:tc>
          <w:tcPr>
            <w:tcW w:type="dxa" w:w="2575"/>
          </w:tcPr>
          <w:p>
            <w:pPr>
              <w:pStyle w:val="null5"/>
            </w:pPr>
            <w:r>
              <w:rPr>
                <w:rFonts w:ascii="仿宋_GB2312" w:hAnsi="仿宋_GB2312" w:cs="仿宋_GB2312" w:eastAsia="仿宋_GB2312"/>
              </w:rPr>
              <w:t>对供应商针对本项目提供的生产设备、生产工艺及生产流程三方面进行综合评审：每项内容满分3分，本项满分9分。每项内容全面、合理、针对性强的，得3分；每存在一处瑕疵扣1分，扣完为止，缺项该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生产设备及工艺</w:t>
            </w:r>
          </w:p>
        </w:tc>
      </w:tr>
      <w:tr>
        <w:tc>
          <w:tcPr>
            <w:tcW w:type="dxa" w:w="831"/>
            <w:vMerge/>
          </w:tcPr>
          <w:p/>
        </w:tc>
        <w:tc>
          <w:tcPr>
            <w:tcW w:type="dxa" w:w="1661"/>
          </w:tcPr>
          <w:p>
            <w:pPr>
              <w:pStyle w:val="null5"/>
            </w:pPr>
            <w:r>
              <w:rPr>
                <w:rFonts w:ascii="仿宋_GB2312" w:hAnsi="仿宋_GB2312" w:cs="仿宋_GB2312" w:eastAsia="仿宋_GB2312"/>
              </w:rPr>
              <w:t>项目实施方案</w:t>
            </w:r>
          </w:p>
        </w:tc>
        <w:tc>
          <w:tcPr>
            <w:tcW w:type="dxa" w:w="2575"/>
          </w:tcPr>
          <w:p>
            <w:pPr>
              <w:pStyle w:val="null5"/>
            </w:pPr>
            <w:r>
              <w:rPr>
                <w:rFonts w:ascii="仿宋_GB2312" w:hAnsi="仿宋_GB2312" w:cs="仿宋_GB2312" w:eastAsia="仿宋_GB2312"/>
              </w:rPr>
              <w:t>对供应商针对本项目提供的运输方案、包装方案、生产进度保障方案、内部质量控制方案、安装调试方案五方面进行综合评审：每项内容满分3分，本项满分15分。每项内容全面、合理、针对性强的，得3分；每存在一处瑕疵扣1分，扣完为止，缺项该项不得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项目实施方案</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售后服务方案（包含技术人员配置、应急响应时间承诺、服务标准承诺等）综合评审：方案适用本项目，且描述详细、清晰，技术支撑材料详实，应急反应时间迅速，售后服务人员力量雄厚，提供相关售后服务人员身份证明资料的，得8分；每存在一处瑕疵扣1分，扣完为止，缺项该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售后服务方案</w:t>
            </w:r>
          </w:p>
          <w:p>
            <w:pPr>
              <w:pStyle w:val="null5"/>
            </w:pPr>
            <w:r>
              <w:rPr>
                <w:rFonts w:ascii="仿宋_GB2312" w:hAnsi="仿宋_GB2312" w:cs="仿宋_GB2312" w:eastAsia="仿宋_GB2312"/>
              </w:rPr>
              <w:t>服务要求及其他要求响应一览表</w:t>
            </w:r>
          </w:p>
        </w:tc>
      </w:tr>
      <w:tr>
        <w:tc>
          <w:tcPr>
            <w:tcW w:type="dxa" w:w="831"/>
            <w:vMerge/>
          </w:tcPr>
          <w:p/>
        </w:tc>
        <w:tc>
          <w:tcPr>
            <w:tcW w:type="dxa" w:w="1661"/>
          </w:tcPr>
          <w:p>
            <w:pPr>
              <w:pStyle w:val="null5"/>
            </w:pPr>
            <w:r>
              <w:rPr>
                <w:rFonts w:ascii="仿宋_GB2312" w:hAnsi="仿宋_GB2312" w:cs="仿宋_GB2312" w:eastAsia="仿宋_GB2312"/>
              </w:rPr>
              <w:t>样品</w:t>
            </w:r>
          </w:p>
        </w:tc>
        <w:tc>
          <w:tcPr>
            <w:tcW w:type="dxa" w:w="2575"/>
          </w:tcPr>
          <w:p>
            <w:pPr>
              <w:pStyle w:val="null5"/>
            </w:pPr>
            <w:r>
              <w:rPr>
                <w:rFonts w:ascii="仿宋_GB2312" w:hAnsi="仿宋_GB2312" w:cs="仿宋_GB2312" w:eastAsia="仿宋_GB2312"/>
              </w:rPr>
              <w:t>根据供应商所提供的样品颜色、做工、材质、外观4项内容进行综合评审：每项最多得2分，每有一处瑕疵扣0.5分，扣完为止。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样品</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供应商提供2023年4月1日至今（以合同签订时间为准）完成的类似项目业绩，每提供一份合同得1分，满分3分。 注：供应商需提供合同复印件（必须体现货物清单、合同双方签字盖章页等合同关键信息），否则业绩不予认可。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磋商报价得分</w:t>
            </w:r>
          </w:p>
        </w:tc>
        <w:tc>
          <w:tcPr>
            <w:tcW w:type="dxa" w:w="2575"/>
          </w:tcPr>
          <w:p>
            <w:pPr>
              <w:pStyle w:val="null5"/>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报价明细表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节能、环保产品</w:t>
            </w:r>
          </w:p>
        </w:tc>
        <w:tc>
          <w:tcPr>
            <w:tcW w:type="dxa" w:w="2575"/>
          </w:tcPr>
          <w:p>
            <w:pPr>
              <w:pStyle w:val="null5"/>
            </w:pPr>
            <w:r>
              <w:rPr>
                <w:rFonts w:ascii="仿宋_GB2312" w:hAnsi="仿宋_GB2312" w:cs="仿宋_GB2312" w:eastAsia="仿宋_GB2312"/>
              </w:rPr>
              <w:t>本项目磋商小组在综合评审时将在供应商满足基本技术条件的前提下，对技术和价格项目按下列规则给予一定幅度的加分。（1）在价格评标项中，对节能、环保产品分别给予价格评标总分值的5％的加分；（2）在技术评标项中，对节能、环保产品分别给予技术评标总分值的 5％的加分。（3）如果供应商提供的产品的一部分为节能、环保产品，由评委在评标时依据节能、环保产品所占比重给予加分，最高不超过价格评标总分值和技术评标总分值的5% 。</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环境标志产品明细表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符合本国产品标准的声明函、投标（响应）报价明细表、开标（报价）一览表、中小企业声明函、残疾人福利性单位声明函、监狱企业的证明文件</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详见附件：不存在关联关系书面声明</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详见附件：报价明细表</w:t>
      </w:r>
    </w:p>
    <w:p>
      <w:pPr>
        <w:pStyle w:val="null5"/>
        <w:ind w:firstLine="960"/>
        <w:jc w:val="left"/>
      </w:pPr>
      <w:r>
        <w:rPr>
          <w:rFonts w:ascii="仿宋_GB2312" w:hAnsi="仿宋_GB2312" w:cs="仿宋_GB2312" w:eastAsia="仿宋_GB2312"/>
        </w:rPr>
        <w:t>详见附件：生产设备及工艺</w:t>
      </w:r>
    </w:p>
    <w:p>
      <w:pPr>
        <w:pStyle w:val="null5"/>
        <w:ind w:firstLine="960"/>
        <w:jc w:val="left"/>
      </w:pPr>
      <w:r>
        <w:rPr>
          <w:rFonts w:ascii="仿宋_GB2312" w:hAnsi="仿宋_GB2312" w:cs="仿宋_GB2312" w:eastAsia="仿宋_GB2312"/>
        </w:rPr>
        <w:t>详见附件：营业执照等证明文件</w:t>
      </w:r>
    </w:p>
    <w:p>
      <w:pPr>
        <w:pStyle w:val="null5"/>
        <w:ind w:firstLine="960"/>
        <w:jc w:val="left"/>
      </w:pPr>
      <w:r>
        <w:rPr>
          <w:rFonts w:ascii="仿宋_GB2312" w:hAnsi="仿宋_GB2312" w:cs="仿宋_GB2312" w:eastAsia="仿宋_GB2312"/>
        </w:rPr>
        <w:t>详见附件：依法缴纳税收和社会保障资金承诺函或证明材料</w:t>
      </w:r>
    </w:p>
    <w:p>
      <w:pPr>
        <w:pStyle w:val="null5"/>
        <w:ind w:firstLine="960"/>
        <w:jc w:val="left"/>
      </w:pPr>
      <w:r>
        <w:rPr>
          <w:rFonts w:ascii="仿宋_GB2312" w:hAnsi="仿宋_GB2312" w:cs="仿宋_GB2312" w:eastAsia="仿宋_GB2312"/>
        </w:rPr>
        <w:t>详见附件：无重大违法记录的书面声明</w:t>
      </w:r>
    </w:p>
    <w:p>
      <w:pPr>
        <w:pStyle w:val="null5"/>
        <w:ind w:firstLine="960"/>
        <w:jc w:val="left"/>
      </w:pPr>
      <w:r>
        <w:rPr>
          <w:rFonts w:ascii="仿宋_GB2312" w:hAnsi="仿宋_GB2312" w:cs="仿宋_GB2312" w:eastAsia="仿宋_GB2312"/>
        </w:rPr>
        <w:t>详见附件：具有履行合同所必需的设备和专业技术能力承诺函或证明材料</w:t>
      </w:r>
    </w:p>
    <w:p>
      <w:pPr>
        <w:pStyle w:val="null5"/>
        <w:ind w:firstLine="960"/>
        <w:jc w:val="left"/>
      </w:pPr>
      <w:r>
        <w:rPr>
          <w:rFonts w:ascii="仿宋_GB2312" w:hAnsi="仿宋_GB2312" w:cs="仿宋_GB2312" w:eastAsia="仿宋_GB2312"/>
        </w:rPr>
        <w:t>详见附件：信用查询截图</w:t>
      </w:r>
    </w:p>
    <w:p>
      <w:pPr>
        <w:pStyle w:val="null5"/>
        <w:ind w:firstLine="960"/>
        <w:jc w:val="left"/>
      </w:pPr>
      <w:r>
        <w:rPr>
          <w:rFonts w:ascii="仿宋_GB2312" w:hAnsi="仿宋_GB2312" w:cs="仿宋_GB2312" w:eastAsia="仿宋_GB2312"/>
        </w:rPr>
        <w:t>详见附件：具有良好的商业信誉和健全的财务会计制度信用承诺函或相关证明材料</w:t>
      </w:r>
    </w:p>
    <w:p>
      <w:pPr>
        <w:pStyle w:val="null5"/>
        <w:ind w:firstLine="960"/>
        <w:jc w:val="left"/>
      </w:pPr>
      <w:r>
        <w:rPr>
          <w:rFonts w:ascii="仿宋_GB2312" w:hAnsi="仿宋_GB2312" w:cs="仿宋_GB2312" w:eastAsia="仿宋_GB2312"/>
        </w:rPr>
        <w:t>详见附件：环境标志产品明细表</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详见附件：项目实施方案</w:t>
      </w:r>
    </w:p>
    <w:p>
      <w:pPr>
        <w:pStyle w:val="null5"/>
        <w:ind w:firstLine="960"/>
        <w:jc w:val="left"/>
      </w:pPr>
      <w:r>
        <w:rPr>
          <w:rFonts w:ascii="仿宋_GB2312" w:hAnsi="仿宋_GB2312" w:cs="仿宋_GB2312" w:eastAsia="仿宋_GB2312"/>
        </w:rPr>
        <w:t>详见附件：符合本国产品标准的声明函</w:t>
      </w:r>
    </w:p>
    <w:p>
      <w:pPr>
        <w:pStyle w:val="null5"/>
        <w:ind w:firstLine="960"/>
        <w:jc w:val="left"/>
      </w:pPr>
      <w:r>
        <w:rPr>
          <w:rFonts w:ascii="仿宋_GB2312" w:hAnsi="仿宋_GB2312" w:cs="仿宋_GB2312" w:eastAsia="仿宋_GB2312"/>
        </w:rPr>
        <w:t>详见附件：样品</w:t>
      </w:r>
    </w:p>
    <w:p>
      <w:pPr>
        <w:pStyle w:val="null5"/>
        <w:ind w:firstLine="960"/>
        <w:jc w:val="left"/>
      </w:pPr>
      <w:r>
        <w:rPr>
          <w:rFonts w:ascii="仿宋_GB2312" w:hAnsi="仿宋_GB2312" w:cs="仿宋_GB2312" w:eastAsia="仿宋_GB2312"/>
        </w:rPr>
        <w:t>详见附件：被授权人社保证明材料</w:t>
      </w:r>
    </w:p>
    <w:p>
      <w:pPr>
        <w:pStyle w:val="null5"/>
        <w:ind w:firstLine="960"/>
        <w:jc w:val="left"/>
      </w:pPr>
      <w:r>
        <w:rPr>
          <w:rFonts w:ascii="仿宋_GB2312" w:hAnsi="仿宋_GB2312" w:cs="仿宋_GB2312" w:eastAsia="仿宋_GB2312"/>
        </w:rPr>
        <w:t>详见附件：服务要求及其他要求响应一览表</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SDGP370000000202602002314</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山东第一医科大学（山东省医学科学院）口腔楼启用综合配套项目窗帘安装采购</w:t>
      </w:r>
    </w:p>
    <w:p>
      <w:pPr>
        <w:pStyle w:val="null5"/>
        <w:jc w:val="left"/>
      </w:pPr>
      <w:r>
        <w:rPr>
          <w:rFonts w:ascii="仿宋_GB2312" w:hAnsi="仿宋_GB2312" w:cs="仿宋_GB2312" w:eastAsia="仿宋_GB2312"/>
        </w:rPr>
        <w:t>采购包：</w:t>
      </w:r>
      <w:r>
        <w:rPr>
          <w:rFonts w:ascii="仿宋_GB2312" w:hAnsi="仿宋_GB2312" w:cs="仿宋_GB2312" w:eastAsia="仿宋_GB2312"/>
        </w:rPr>
        <w:t>山东第一医科大学（山东省医学科学院）口腔楼启用综合配套项目窗帘安装采购</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窗帘（布帘、纱帘、轨道、百叶帘、卷帘）</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货物名称</w:t>
            </w:r>
          </w:p>
        </w:tc>
        <w:tc>
          <w:tcPr>
            <w:tcW w:type="dxa" w:w="755"/>
          </w:tcPr>
          <w:p>
            <w:pPr>
              <w:pStyle w:val="null5"/>
              <w:jc w:val="left"/>
            </w:pPr>
            <w:r>
              <w:rPr>
                <w:rFonts w:ascii="仿宋_GB2312" w:hAnsi="仿宋_GB2312" w:cs="仿宋_GB2312" w:eastAsia="仿宋_GB2312"/>
              </w:rPr>
              <w:t xml:space="preserve"> 规格型号</w:t>
            </w:r>
          </w:p>
        </w:tc>
        <w:tc>
          <w:tcPr>
            <w:tcW w:type="dxa" w:w="755"/>
          </w:tcPr>
          <w:p>
            <w:pPr>
              <w:pStyle w:val="null5"/>
              <w:jc w:val="left"/>
            </w:pPr>
            <w:r>
              <w:rPr>
                <w:rFonts w:ascii="仿宋_GB2312" w:hAnsi="仿宋_GB2312" w:cs="仿宋_GB2312" w:eastAsia="仿宋_GB2312"/>
              </w:rPr>
              <w:t xml:space="preserve"> 品牌</w:t>
            </w:r>
          </w:p>
        </w:tc>
        <w:tc>
          <w:tcPr>
            <w:tcW w:type="dxa" w:w="755"/>
          </w:tcPr>
          <w:p>
            <w:pPr>
              <w:pStyle w:val="null5"/>
              <w:jc w:val="left"/>
            </w:pPr>
            <w:r>
              <w:rPr>
                <w:rFonts w:ascii="仿宋_GB2312" w:hAnsi="仿宋_GB2312" w:cs="仿宋_GB2312" w:eastAsia="仿宋_GB2312"/>
              </w:rPr>
              <w:t xml:space="preserve"> 制造商名称</w:t>
            </w:r>
          </w:p>
        </w:tc>
        <w:tc>
          <w:tcPr>
            <w:tcW w:type="dxa" w:w="755"/>
          </w:tcPr>
          <w:p>
            <w:pPr>
              <w:pStyle w:val="null5"/>
              <w:jc w:val="left"/>
            </w:pPr>
            <w:r>
              <w:rPr>
                <w:rFonts w:ascii="仿宋_GB2312" w:hAnsi="仿宋_GB2312" w:cs="仿宋_GB2312" w:eastAsia="仿宋_GB2312"/>
              </w:rPr>
              <w:t xml:space="preserve"> 产地</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窗帘（布帘、纱帘、轨道、百叶帘、卷帘）</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259781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SDGP370000000202602002314</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山东第一医科大学（山东省医学科学院）口腔楼启用综合配套项目窗帘安装采购</w:t>
      </w:r>
    </w:p>
    <w:p>
      <w:pPr>
        <w:pStyle w:val="null5"/>
        <w:jc w:val="left"/>
      </w:pPr>
      <w:r>
        <w:rPr>
          <w:rFonts w:ascii="仿宋_GB2312" w:hAnsi="仿宋_GB2312" w:cs="仿宋_GB2312" w:eastAsia="仿宋_GB2312"/>
        </w:rPr>
        <w:t>采购包：</w:t>
      </w:r>
      <w:r>
        <w:rPr>
          <w:rFonts w:ascii="仿宋_GB2312" w:hAnsi="仿宋_GB2312" w:cs="仿宋_GB2312" w:eastAsia="仿宋_GB2312"/>
        </w:rPr>
        <w:t>山东第一医科大学（山东省医学科学院）口腔楼启用综合配套项目窗帘安装采购</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山东第一医科大学（山东省医学科学院）口腔楼启用综合配套项目窗帘安装采购</w:t>
            </w:r>
          </w:p>
        </w:tc>
        <w:tc>
          <w:tcPr>
            <w:tcW w:type="dxa" w:w="1384"/>
          </w:tcPr>
          <w:p>
            <w:pPr>
              <w:pStyle w:val="null5"/>
              <w:jc w:val="left"/>
            </w:pPr>
            <w:r>
              <w:rPr>
                <w:rFonts w:ascii="仿宋_GB2312" w:hAnsi="仿宋_GB2312" w:cs="仿宋_GB2312" w:eastAsia="仿宋_GB2312"/>
              </w:rPr>
              <w:t xml:space="preserve"> 批</w:t>
            </w:r>
          </w:p>
        </w:tc>
        <w:tc>
          <w:tcPr>
            <w:tcW w:type="dxa" w:w="1384"/>
          </w:tcPr>
          <w:p>
            <w:pPr>
              <w:pStyle w:val="null5"/>
              <w:jc w:val="left"/>
            </w:pPr>
            <w:r>
              <w:rPr>
                <w:rFonts w:ascii="仿宋_GB2312" w:hAnsi="仿宋_GB2312" w:cs="仿宋_GB2312" w:eastAsia="仿宋_GB2312"/>
              </w:rPr>
              <w:t xml:space="preserve"> 259781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详见附件：山东省政府采购合同（货物类）.docx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