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cstate="print"/>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山东第一医科大学（山东省医学科学院）</w:t>
      </w:r>
      <w:r>
        <w:rPr>
          <w:rFonts w:hint="eastAsia" w:ascii="仿宋" w:hAnsi="仿宋" w:cs="仿宋"/>
          <w:b/>
          <w:bCs/>
          <w:sz w:val="44"/>
          <w:szCs w:val="44"/>
          <w:lang w:eastAsia="zh-CN"/>
        </w:rPr>
        <w:t>科教融合一附院高水平成果资助试剂耗材采购三（134）</w:t>
      </w:r>
      <w:r>
        <w:rPr>
          <w:rFonts w:hint="eastAsia" w:ascii="仿宋" w:hAnsi="仿宋" w:cs="仿宋"/>
          <w:b/>
          <w:bCs/>
          <w:sz w:val="44"/>
          <w:szCs w:val="44"/>
        </w:rPr>
        <w:t>竞争性磋商文件</w:t>
      </w:r>
    </w:p>
    <w:p>
      <w:pPr>
        <w:ind w:firstLine="0" w:firstLineChars="0"/>
        <w:rPr>
          <w:rFonts w:ascii="仿宋" w:hAnsi="仿宋" w:cs="仿宋"/>
        </w:rPr>
      </w:pPr>
    </w:p>
    <w:p>
      <w:pPr>
        <w:ind w:firstLine="177" w:firstLineChars="55"/>
        <w:jc w:val="center"/>
        <w:rPr>
          <w:rFonts w:hint="eastAsia" w:ascii="仿宋" w:hAnsi="仿宋" w:cs="仿宋"/>
          <w:b/>
          <w:sz w:val="32"/>
          <w:szCs w:val="32"/>
        </w:rPr>
      </w:pPr>
      <w:r>
        <w:rPr>
          <w:rFonts w:hint="eastAsia" w:ascii="仿宋" w:hAnsi="仿宋" w:cs="仿宋"/>
          <w:b/>
          <w:sz w:val="32"/>
          <w:szCs w:val="32"/>
        </w:rPr>
        <w:t>项目编号：</w:t>
      </w:r>
      <w:bookmarkStart w:id="7" w:name="_GoBack"/>
      <w:r>
        <w:rPr>
          <w:rFonts w:hint="eastAsia" w:ascii="仿宋" w:hAnsi="仿宋" w:cs="仿宋"/>
          <w:b/>
          <w:sz w:val="32"/>
          <w:szCs w:val="32"/>
        </w:rPr>
        <w:t>SDGP370000000202302004490</w:t>
      </w:r>
      <w:bookmarkEnd w:id="7"/>
    </w:p>
    <w:p>
      <w:pPr>
        <w:ind w:firstLine="177" w:firstLineChars="55"/>
        <w:jc w:val="center"/>
        <w:rPr>
          <w:rFonts w:ascii="仿宋" w:hAnsi="仿宋" w:cs="仿宋"/>
          <w:b/>
          <w:sz w:val="36"/>
          <w:szCs w:val="36"/>
          <w:u w:val="single"/>
        </w:rPr>
      </w:pPr>
      <w:r>
        <w:rPr>
          <w:rFonts w:hint="eastAsia" w:ascii="仿宋" w:hAnsi="仿宋" w:cs="仿宋"/>
          <w:b/>
          <w:sz w:val="32"/>
          <w:szCs w:val="32"/>
          <w:lang w:val="en-US" w:eastAsia="zh-CN"/>
        </w:rPr>
        <w:t>/</w:t>
      </w:r>
      <w:r>
        <w:rPr>
          <w:rFonts w:hint="eastAsia" w:ascii="仿宋" w:hAnsi="仿宋" w:cs="仿宋"/>
          <w:b/>
          <w:sz w:val="32"/>
          <w:szCs w:val="32"/>
        </w:rPr>
        <w:t>sdhryw2023134</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仿宋" w:hAnsi="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w:t>
      </w:r>
      <w:r>
        <w:rPr>
          <w:rFonts w:hint="eastAsia" w:ascii="仿宋" w:hAnsi="仿宋" w:cs="仿宋"/>
          <w:b/>
          <w:sz w:val="36"/>
          <w:szCs w:val="36"/>
          <w:u w:val="single"/>
          <w:lang w:eastAsia="zh-CN"/>
        </w:rPr>
        <w:t>六</w:t>
      </w:r>
      <w:r>
        <w:rPr>
          <w:rFonts w:hint="eastAsia" w:ascii="仿宋" w:hAnsi="仿宋" w:cs="仿宋"/>
          <w:b/>
          <w:sz w:val="36"/>
          <w:szCs w:val="36"/>
          <w:u w:val="single"/>
        </w:rPr>
        <w:t>月</w:t>
      </w:r>
    </w:p>
    <w:p>
      <w:pPr>
        <w:pStyle w:val="30"/>
        <w:spacing w:line="360" w:lineRule="auto"/>
        <w:ind w:firstLine="0" w:firstLineChars="0"/>
        <w:jc w:val="center"/>
        <w:rPr>
          <w:rFonts w:ascii="仿宋" w:hAnsi="仿宋" w:cs="仿宋"/>
          <w:b/>
          <w:sz w:val="32"/>
          <w:szCs w:val="32"/>
        </w:rPr>
      </w:pPr>
      <w:r>
        <w:rPr>
          <w:rFonts w:hint="eastAsia" w:ascii="仿宋" w:hAnsi="仿宋" w:cs="仿宋"/>
          <w:b/>
          <w:sz w:val="32"/>
          <w:szCs w:val="32"/>
        </w:rPr>
        <w:t>目  录</w:t>
      </w: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b/>
          <w:sz w:val="28"/>
          <w:szCs w:val="28"/>
        </w:rPr>
      </w:pPr>
      <w:r>
        <w:rPr>
          <w:rFonts w:hint="eastAsia" w:ascii="仿宋" w:hAnsi="仿宋" w:cs="仿宋"/>
          <w:b/>
          <w:sz w:val="28"/>
          <w:szCs w:val="28"/>
        </w:rPr>
        <w:t>第一册  通用部分</w:t>
      </w:r>
    </w:p>
    <w:p>
      <w:pPr>
        <w:pStyle w:val="30"/>
        <w:spacing w:line="360" w:lineRule="auto"/>
        <w:ind w:firstLine="482"/>
        <w:rPr>
          <w:rFonts w:ascii="仿宋" w:hAnsi="仿宋" w:cs="仿宋"/>
          <w:b/>
        </w:rPr>
      </w:pPr>
      <w:r>
        <w:rPr>
          <w:rFonts w:hint="eastAsia" w:ascii="仿宋" w:hAnsi="仿宋" w:cs="仿宋"/>
          <w:b/>
        </w:rPr>
        <w:t>第一部分   供应商须知</w:t>
      </w:r>
    </w:p>
    <w:p>
      <w:pPr>
        <w:pStyle w:val="30"/>
        <w:spacing w:line="360" w:lineRule="auto"/>
        <w:ind w:firstLine="482"/>
        <w:rPr>
          <w:rFonts w:ascii="仿宋" w:hAnsi="仿宋" w:cs="仿宋"/>
          <w:b/>
        </w:rPr>
      </w:pPr>
      <w:r>
        <w:rPr>
          <w:rFonts w:hint="eastAsia" w:ascii="仿宋" w:hAnsi="仿宋" w:cs="仿宋"/>
          <w:b/>
        </w:rPr>
        <w:t>第二部分   政府采购合同格式</w:t>
      </w:r>
    </w:p>
    <w:p>
      <w:pPr>
        <w:pStyle w:val="30"/>
        <w:spacing w:line="360" w:lineRule="auto"/>
        <w:ind w:firstLine="482"/>
        <w:rPr>
          <w:rFonts w:ascii="仿宋" w:hAnsi="仿宋" w:cs="仿宋"/>
          <w:b/>
        </w:rPr>
      </w:pPr>
      <w:r>
        <w:rPr>
          <w:rFonts w:hint="eastAsia" w:ascii="仿宋" w:hAnsi="仿宋" w:cs="仿宋"/>
          <w:b/>
        </w:rPr>
        <w:t>第三部分   响应文件格式</w:t>
      </w:r>
    </w:p>
    <w:p>
      <w:pPr>
        <w:pStyle w:val="30"/>
        <w:spacing w:line="360" w:lineRule="auto"/>
        <w:ind w:firstLine="482"/>
        <w:rPr>
          <w:rFonts w:ascii="仿宋" w:hAnsi="仿宋" w:cs="仿宋"/>
          <w:b/>
        </w:rPr>
      </w:pPr>
      <w:r>
        <w:rPr>
          <w:rFonts w:hint="eastAsia" w:ascii="仿宋" w:hAnsi="仿宋" w:cs="仿宋"/>
          <w:b/>
        </w:rPr>
        <w:t>第四部分   附件</w:t>
      </w: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b/>
          <w:sz w:val="28"/>
          <w:szCs w:val="28"/>
        </w:rPr>
      </w:pPr>
      <w:r>
        <w:rPr>
          <w:rFonts w:hint="eastAsia" w:ascii="仿宋" w:hAnsi="仿宋" w:cs="仿宋"/>
          <w:b/>
          <w:sz w:val="28"/>
          <w:szCs w:val="28"/>
        </w:rPr>
        <w:t>第二册  项目专用部分（本册）</w:t>
      </w:r>
    </w:p>
    <w:p>
      <w:pPr>
        <w:pStyle w:val="17"/>
        <w:tabs>
          <w:tab w:val="right" w:leader="dot" w:pos="9629"/>
        </w:tabs>
        <w:ind w:firstLine="480"/>
        <w:rPr>
          <w:rFonts w:ascii="仿宋" w:hAnsi="仿宋" w:cs="仿宋"/>
          <w:sz w:val="21"/>
          <w:szCs w:val="22"/>
        </w:rPr>
      </w:pPr>
      <w:r>
        <w:rPr>
          <w:rFonts w:hint="eastAsia" w:ascii="仿宋" w:hAnsi="仿宋" w:cs="仿宋"/>
        </w:rPr>
        <w:fldChar w:fldCharType="begin"/>
      </w:r>
      <w:r>
        <w:rPr>
          <w:rFonts w:hint="eastAsia" w:ascii="仿宋" w:hAnsi="仿宋" w:cs="仿宋"/>
        </w:rPr>
        <w:instrText xml:space="preserve"> TOC \o "1-2" \h \z \u </w:instrText>
      </w:r>
      <w:r>
        <w:rPr>
          <w:rFonts w:hint="eastAsia" w:ascii="仿宋" w:hAnsi="仿宋" w:cs="仿宋"/>
        </w:rPr>
        <w:fldChar w:fldCharType="separate"/>
      </w:r>
      <w:r>
        <w:fldChar w:fldCharType="begin"/>
      </w:r>
      <w:r>
        <w:instrText xml:space="preserve"> HYPERLINK \l "_Toc81467277" </w:instrText>
      </w:r>
      <w:r>
        <w:fldChar w:fldCharType="separate"/>
      </w:r>
      <w:r>
        <w:rPr>
          <w:rStyle w:val="23"/>
          <w:rFonts w:hint="eastAsia" w:ascii="仿宋" w:hAnsi="仿宋" w:cs="仿宋"/>
          <w:b/>
          <w:color w:val="auto"/>
        </w:rPr>
        <w:t>第五部分  磋商邀请</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_Toc81467277 \h </w:instrText>
      </w:r>
      <w:r>
        <w:rPr>
          <w:rFonts w:hint="eastAsia" w:ascii="仿宋" w:hAnsi="仿宋" w:cs="仿宋"/>
        </w:rPr>
        <w:fldChar w:fldCharType="separate"/>
      </w:r>
      <w:r>
        <w:rPr>
          <w:rFonts w:hint="eastAsia" w:ascii="仿宋" w:hAnsi="仿宋" w:cs="仿宋"/>
        </w:rPr>
        <w:t>2</w:t>
      </w:r>
      <w:r>
        <w:rPr>
          <w:rFonts w:hint="eastAsia" w:ascii="仿宋" w:hAnsi="仿宋" w:cs="仿宋"/>
        </w:rPr>
        <w:fldChar w:fldCharType="end"/>
      </w:r>
      <w:r>
        <w:rPr>
          <w:rFonts w:hint="eastAsia" w:ascii="仿宋" w:hAnsi="仿宋" w:cs="仿宋"/>
        </w:rPr>
        <w:fldChar w:fldCharType="end"/>
      </w:r>
    </w:p>
    <w:p>
      <w:pPr>
        <w:pStyle w:val="17"/>
        <w:tabs>
          <w:tab w:val="right" w:leader="dot" w:pos="9629"/>
        </w:tabs>
        <w:ind w:firstLine="480"/>
        <w:rPr>
          <w:rFonts w:ascii="仿宋" w:hAnsi="仿宋" w:cs="仿宋"/>
          <w:sz w:val="21"/>
          <w:szCs w:val="22"/>
        </w:rPr>
      </w:pPr>
      <w:r>
        <w:fldChar w:fldCharType="begin"/>
      </w:r>
      <w:r>
        <w:instrText xml:space="preserve"> HYPERLINK \l "_Toc81467278" </w:instrText>
      </w:r>
      <w:r>
        <w:fldChar w:fldCharType="separate"/>
      </w:r>
      <w:r>
        <w:rPr>
          <w:rStyle w:val="23"/>
          <w:rFonts w:hint="eastAsia" w:ascii="仿宋" w:hAnsi="仿宋" w:cs="仿宋"/>
          <w:b/>
          <w:color w:val="auto"/>
        </w:rPr>
        <w:t>第六部分  供应商须知附表</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_Toc81467278 \h </w:instrText>
      </w:r>
      <w:r>
        <w:rPr>
          <w:rFonts w:hint="eastAsia" w:ascii="仿宋" w:hAnsi="仿宋" w:cs="仿宋"/>
        </w:rPr>
        <w:fldChar w:fldCharType="separate"/>
      </w:r>
      <w:r>
        <w:rPr>
          <w:rFonts w:hint="eastAsia" w:ascii="仿宋" w:hAnsi="仿宋" w:cs="仿宋"/>
        </w:rPr>
        <w:t>4</w:t>
      </w:r>
      <w:r>
        <w:rPr>
          <w:rFonts w:hint="eastAsia" w:ascii="仿宋" w:hAnsi="仿宋" w:cs="仿宋"/>
        </w:rPr>
        <w:fldChar w:fldCharType="end"/>
      </w:r>
      <w:r>
        <w:rPr>
          <w:rFonts w:hint="eastAsia" w:ascii="仿宋" w:hAnsi="仿宋" w:cs="仿宋"/>
        </w:rPr>
        <w:fldChar w:fldCharType="end"/>
      </w:r>
    </w:p>
    <w:p>
      <w:pPr>
        <w:pStyle w:val="17"/>
        <w:tabs>
          <w:tab w:val="right" w:leader="dot" w:pos="9629"/>
        </w:tabs>
        <w:ind w:firstLine="480"/>
        <w:rPr>
          <w:rFonts w:ascii="仿宋" w:hAnsi="仿宋" w:cs="仿宋"/>
          <w:sz w:val="21"/>
          <w:szCs w:val="22"/>
        </w:rPr>
      </w:pPr>
      <w:r>
        <w:fldChar w:fldCharType="begin"/>
      </w:r>
      <w:r>
        <w:instrText xml:space="preserve"> HYPERLINK \l "_Toc81467279" </w:instrText>
      </w:r>
      <w:r>
        <w:fldChar w:fldCharType="separate"/>
      </w:r>
      <w:r>
        <w:rPr>
          <w:rStyle w:val="23"/>
          <w:rFonts w:hint="eastAsia" w:ascii="仿宋" w:hAnsi="仿宋" w:cs="仿宋"/>
          <w:b/>
          <w:color w:val="auto"/>
        </w:rPr>
        <w:t>第七部分  评审方法和评分细则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_Toc81467279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960"/>
        <w:rPr>
          <w:rFonts w:ascii="仿宋" w:hAnsi="仿宋" w:cs="仿宋"/>
          <w:sz w:val="21"/>
          <w:szCs w:val="22"/>
        </w:rPr>
      </w:pPr>
      <w:r>
        <w:fldChar w:fldCharType="begin"/>
      </w:r>
      <w:r>
        <w:instrText xml:space="preserve"> HYPERLINK \l "_Toc81467280" </w:instrText>
      </w:r>
      <w:r>
        <w:fldChar w:fldCharType="separate"/>
      </w:r>
      <w:r>
        <w:rPr>
          <w:rStyle w:val="23"/>
          <w:rFonts w:hint="eastAsia" w:ascii="仿宋" w:hAnsi="仿宋" w:cs="仿宋"/>
          <w:b/>
          <w:color w:val="auto"/>
        </w:rPr>
        <w:t>一、评审方法</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_Toc81467280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960"/>
        <w:rPr>
          <w:rFonts w:ascii="仿宋" w:hAnsi="仿宋" w:cs="仿宋"/>
          <w:sz w:val="21"/>
          <w:szCs w:val="22"/>
        </w:rPr>
      </w:pPr>
      <w:r>
        <w:fldChar w:fldCharType="begin"/>
      </w:r>
      <w:r>
        <w:instrText xml:space="preserve"> HYPERLINK \l "_Toc81467281" </w:instrText>
      </w:r>
      <w:r>
        <w:fldChar w:fldCharType="separate"/>
      </w:r>
      <w:r>
        <w:rPr>
          <w:rStyle w:val="23"/>
          <w:rFonts w:hint="eastAsia" w:ascii="仿宋" w:hAnsi="仿宋" w:cs="仿宋"/>
          <w:b/>
          <w:color w:val="auto"/>
        </w:rPr>
        <w:t>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_Toc81467281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960"/>
        <w:rPr>
          <w:rFonts w:ascii="仿宋" w:hAnsi="仿宋" w:cs="仿宋"/>
          <w:sz w:val="21"/>
          <w:szCs w:val="22"/>
        </w:rPr>
      </w:pPr>
      <w:r>
        <w:fldChar w:fldCharType="begin"/>
      </w:r>
      <w:r>
        <w:instrText xml:space="preserve"> HYPERLINK \l "_Toc81467282" </w:instrText>
      </w:r>
      <w:r>
        <w:fldChar w:fldCharType="separate"/>
      </w:r>
      <w:r>
        <w:rPr>
          <w:rStyle w:val="23"/>
          <w:rFonts w:hint="eastAsia" w:ascii="仿宋" w:hAnsi="仿宋" w:cs="仿宋"/>
          <w:b/>
          <w:color w:val="auto"/>
        </w:rPr>
        <w:t>三、初步审查属于无效报价的条款</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_Toc81467282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7"/>
        <w:tabs>
          <w:tab w:val="right" w:leader="dot" w:pos="9629"/>
        </w:tabs>
        <w:ind w:firstLine="480"/>
        <w:rPr>
          <w:rFonts w:ascii="仿宋" w:hAnsi="仿宋" w:cs="仿宋"/>
          <w:sz w:val="21"/>
          <w:szCs w:val="22"/>
        </w:rPr>
      </w:pPr>
      <w:r>
        <w:fldChar w:fldCharType="begin"/>
      </w:r>
      <w:r>
        <w:instrText xml:space="preserve"> HYPERLINK \l "_Toc81467283" </w:instrText>
      </w:r>
      <w:r>
        <w:fldChar w:fldCharType="separate"/>
      </w:r>
      <w:r>
        <w:rPr>
          <w:rStyle w:val="23"/>
          <w:rFonts w:hint="eastAsia" w:ascii="仿宋" w:hAnsi="仿宋" w:cs="仿宋"/>
          <w:b/>
          <w:color w:val="auto"/>
        </w:rPr>
        <w:t>第八部分  技术要求及说明</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_Toc81467283 \h </w:instrText>
      </w:r>
      <w:r>
        <w:rPr>
          <w:rFonts w:hint="eastAsia" w:ascii="仿宋" w:hAnsi="仿宋" w:cs="仿宋"/>
        </w:rPr>
        <w:fldChar w:fldCharType="separate"/>
      </w:r>
      <w:r>
        <w:rPr>
          <w:rFonts w:hint="eastAsia" w:ascii="仿宋" w:hAnsi="仿宋" w:cs="仿宋"/>
        </w:rPr>
        <w:t>13</w:t>
      </w:r>
      <w:r>
        <w:rPr>
          <w:rFonts w:hint="eastAsia" w:ascii="仿宋" w:hAnsi="仿宋" w:cs="仿宋"/>
        </w:rPr>
        <w:fldChar w:fldCharType="end"/>
      </w:r>
      <w:r>
        <w:rPr>
          <w:rFonts w:hint="eastAsia" w:ascii="仿宋" w:hAnsi="仿宋" w:cs="仿宋"/>
        </w:rPr>
        <w:fldChar w:fldCharType="end"/>
      </w:r>
    </w:p>
    <w:p>
      <w:pPr>
        <w:pStyle w:val="30"/>
        <w:spacing w:line="360" w:lineRule="auto"/>
        <w:ind w:firstLine="0" w:firstLineChars="0"/>
        <w:rPr>
          <w:rFonts w:ascii="仿宋" w:hAnsi="仿宋" w:cs="仿宋"/>
        </w:rPr>
      </w:pPr>
      <w:r>
        <w:rPr>
          <w:rFonts w:hint="eastAsia" w:ascii="仿宋" w:hAnsi="仿宋" w:cs="仿宋"/>
        </w:rPr>
        <w:fldChar w:fldCharType="end"/>
      </w: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ind w:firstLine="0" w:firstLineChars="0"/>
        <w:jc w:val="center"/>
        <w:outlineLvl w:val="0"/>
        <w:rPr>
          <w:rFonts w:ascii="仿宋" w:hAnsi="仿宋" w:cs="仿宋"/>
          <w:b/>
          <w:sz w:val="32"/>
          <w:szCs w:val="32"/>
        </w:rPr>
      </w:pPr>
      <w:bookmarkStart w:id="0" w:name="_Toc81467277"/>
      <w:r>
        <w:rPr>
          <w:rFonts w:hint="eastAsia" w:ascii="仿宋" w:hAnsi="仿宋" w:cs="仿宋"/>
          <w:b/>
          <w:sz w:val="32"/>
          <w:szCs w:val="32"/>
        </w:rPr>
        <w:t>第五部分  磋商邀请</w:t>
      </w:r>
      <w:bookmarkEnd w:id="0"/>
    </w:p>
    <w:p>
      <w:pPr>
        <w:pStyle w:val="30"/>
        <w:spacing w:line="360" w:lineRule="auto"/>
        <w:ind w:firstLine="480"/>
        <w:rPr>
          <w:rFonts w:ascii="仿宋" w:hAnsi="仿宋" w:cs="仿宋"/>
        </w:rPr>
      </w:pPr>
      <w:r>
        <w:rPr>
          <w:rFonts w:hint="eastAsia" w:ascii="仿宋" w:hAnsi="仿宋" w:cs="仿宋"/>
        </w:rPr>
        <w:t>山东华仁永旺招标有限公司（以下简称采购代理机构）受山东第一医科大学（山东省医学科学院）的委托，对“山东第一医科大学（山东省医学科学院）</w:t>
      </w:r>
      <w:r>
        <w:rPr>
          <w:rFonts w:hint="eastAsia" w:ascii="仿宋" w:hAnsi="仿宋" w:cs="仿宋"/>
          <w:lang w:eastAsia="zh-CN"/>
        </w:rPr>
        <w:t>科教融合一附院高水平成果资助试剂耗材采购三（134）</w:t>
      </w:r>
      <w:r>
        <w:rPr>
          <w:rFonts w:hint="eastAsia" w:ascii="仿宋" w:hAnsi="仿宋" w:cs="仿宋"/>
        </w:rPr>
        <w:t>”货物及其他相关服务进行竞争性磋商采购，欢迎符合条件的合格供应商参与报价。</w:t>
      </w:r>
    </w:p>
    <w:p>
      <w:pPr>
        <w:pStyle w:val="30"/>
        <w:spacing w:line="360" w:lineRule="auto"/>
        <w:ind w:firstLine="482"/>
        <w:rPr>
          <w:rFonts w:ascii="仿宋" w:hAnsi="仿宋" w:cs="仿宋"/>
          <w:b/>
        </w:rPr>
      </w:pPr>
      <w:r>
        <w:rPr>
          <w:rFonts w:hint="eastAsia" w:ascii="仿宋" w:hAnsi="仿宋" w:cs="仿宋"/>
          <w:b/>
        </w:rPr>
        <w:t>一、项目名称及编号</w:t>
      </w:r>
    </w:p>
    <w:p>
      <w:pPr>
        <w:pStyle w:val="30"/>
        <w:spacing w:line="360" w:lineRule="auto"/>
        <w:ind w:firstLine="480"/>
        <w:rPr>
          <w:rFonts w:hint="eastAsia" w:ascii="仿宋" w:hAnsi="仿宋" w:eastAsia="仿宋" w:cs="仿宋"/>
          <w:lang w:eastAsia="zh-CN"/>
        </w:rPr>
      </w:pPr>
      <w:r>
        <w:rPr>
          <w:rFonts w:hint="eastAsia" w:ascii="仿宋" w:hAnsi="仿宋" w:cs="仿宋"/>
        </w:rPr>
        <w:t>项目名称：山东第一医科大学（山东省医学科学院）</w:t>
      </w:r>
      <w:r>
        <w:rPr>
          <w:rFonts w:hint="eastAsia" w:ascii="仿宋" w:hAnsi="仿宋" w:cs="仿宋"/>
          <w:lang w:eastAsia="zh-CN"/>
        </w:rPr>
        <w:t>科教融合一附院高水平成果资助试剂耗材采购三（134）</w:t>
      </w:r>
    </w:p>
    <w:p>
      <w:pPr>
        <w:pStyle w:val="30"/>
        <w:spacing w:line="360" w:lineRule="auto"/>
        <w:ind w:firstLine="480"/>
        <w:rPr>
          <w:rFonts w:ascii="仿宋" w:hAnsi="仿宋" w:cs="仿宋"/>
        </w:rPr>
      </w:pPr>
      <w:r>
        <w:rPr>
          <w:rFonts w:hint="eastAsia" w:ascii="仿宋" w:hAnsi="仿宋" w:cs="仿宋"/>
        </w:rPr>
        <w:t>项目编号：SDGP370000000202302004490/sdhryw2023134</w:t>
      </w:r>
    </w:p>
    <w:p>
      <w:pPr>
        <w:pStyle w:val="30"/>
        <w:spacing w:line="360" w:lineRule="auto"/>
        <w:ind w:firstLine="482"/>
        <w:rPr>
          <w:rFonts w:ascii="仿宋" w:hAnsi="仿宋" w:cs="仿宋"/>
          <w:b/>
        </w:rPr>
      </w:pPr>
      <w:r>
        <w:rPr>
          <w:rFonts w:hint="eastAsia" w:ascii="仿宋" w:hAnsi="仿宋" w:cs="仿宋"/>
          <w:b/>
        </w:rPr>
        <w:t>二、采购内容及分包</w:t>
      </w:r>
    </w:p>
    <w:p>
      <w:pPr>
        <w:pStyle w:val="30"/>
        <w:spacing w:line="360" w:lineRule="auto"/>
        <w:ind w:firstLine="480"/>
        <w:rPr>
          <w:rFonts w:ascii="仿宋" w:hAnsi="仿宋" w:cs="仿宋"/>
        </w:rPr>
      </w:pPr>
      <w:r>
        <w:rPr>
          <w:rFonts w:hint="eastAsia" w:ascii="仿宋" w:hAnsi="仿宋" w:cs="仿宋"/>
        </w:rPr>
        <w:t>1、采购内容：本项目为山东第一医科大学（山东省医学科学院）</w:t>
      </w:r>
      <w:r>
        <w:rPr>
          <w:rFonts w:hint="eastAsia" w:ascii="仿宋" w:hAnsi="仿宋" w:cs="仿宋"/>
          <w:lang w:eastAsia="zh-CN"/>
        </w:rPr>
        <w:t>科教融合一附院高水平成果资助试剂耗材采购三（134）</w:t>
      </w:r>
      <w:r>
        <w:rPr>
          <w:rFonts w:hint="eastAsia" w:ascii="仿宋" w:hAnsi="仿宋" w:cs="仿宋"/>
        </w:rPr>
        <w:t>，包括拟采购设备的供货、运输、安装调试及售后服务等。</w:t>
      </w:r>
    </w:p>
    <w:p>
      <w:pPr>
        <w:pStyle w:val="30"/>
        <w:spacing w:line="360" w:lineRule="auto"/>
        <w:ind w:firstLine="480"/>
        <w:rPr>
          <w:rFonts w:ascii="仿宋" w:hAnsi="仿宋" w:cs="仿宋"/>
        </w:rPr>
      </w:pPr>
      <w:r>
        <w:rPr>
          <w:rFonts w:hint="eastAsia" w:ascii="仿宋" w:hAnsi="仿宋" w:cs="仿宋"/>
        </w:rPr>
        <w:t>2、分包情况：共4个包，</w:t>
      </w:r>
      <w:r>
        <w:rPr>
          <w:rFonts w:hint="eastAsia" w:ascii="仿宋" w:hAnsi="仿宋" w:cs="仿宋"/>
          <w:bCs/>
          <w:szCs w:val="24"/>
        </w:rPr>
        <w:t>分包内不允许拆包后投标</w:t>
      </w:r>
      <w:r>
        <w:rPr>
          <w:rFonts w:hint="eastAsia" w:ascii="仿宋" w:hAnsi="仿宋" w:cs="仿宋"/>
        </w:rPr>
        <w:t>。具体分包及技术、服务要求详见“第八部分技术要求及说明”。</w:t>
      </w:r>
    </w:p>
    <w:tbl>
      <w:tblPr>
        <w:tblStyle w:val="21"/>
        <w:tblpPr w:leftFromText="180" w:rightFromText="180" w:vertAnchor="text" w:horzAnchor="page" w:tblpXSpec="center" w:tblpY="254"/>
        <w:tblOverlap w:val="never"/>
        <w:tblW w:w="55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1502"/>
        <w:gridCol w:w="1794"/>
        <w:gridCol w:w="1679"/>
        <w:gridCol w:w="5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0" w:type="pct"/>
            <w:vAlign w:val="center"/>
          </w:tcPr>
          <w:p>
            <w:pPr>
              <w:ind w:right="240" w:firstLine="0" w:firstLineChars="0"/>
              <w:jc w:val="center"/>
              <w:rPr>
                <w:rFonts w:ascii="仿宋" w:hAnsi="仿宋" w:cs="仿宋"/>
                <w:szCs w:val="24"/>
              </w:rPr>
            </w:pPr>
            <w:r>
              <w:rPr>
                <w:rFonts w:hint="eastAsia" w:ascii="仿宋" w:hAnsi="仿宋" w:cs="仿宋"/>
                <w:szCs w:val="24"/>
              </w:rPr>
              <w:t>包号</w:t>
            </w:r>
          </w:p>
        </w:tc>
        <w:tc>
          <w:tcPr>
            <w:tcW w:w="697"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833"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780"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338"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8"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697" w:type="pct"/>
            <w:vAlign w:val="center"/>
          </w:tcPr>
          <w:p>
            <w:pPr>
              <w:ind w:firstLine="0" w:firstLineChars="0"/>
              <w:rPr>
                <w:rFonts w:ascii="仿宋" w:hAnsi="仿宋" w:cs="仿宋"/>
                <w:szCs w:val="24"/>
              </w:rPr>
            </w:pPr>
            <w:r>
              <w:rPr>
                <w:rFonts w:hint="eastAsia" w:ascii="仿宋" w:hAnsi="仿宋" w:cs="仿宋"/>
                <w:szCs w:val="24"/>
              </w:rPr>
              <w:t>试剂耗材一</w:t>
            </w:r>
          </w:p>
        </w:tc>
        <w:tc>
          <w:tcPr>
            <w:tcW w:w="83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780"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24.34</w:t>
            </w:r>
          </w:p>
        </w:tc>
        <w:tc>
          <w:tcPr>
            <w:tcW w:w="2338" w:type="pct"/>
            <w:vMerge w:val="restar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3、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B</w:t>
            </w:r>
          </w:p>
        </w:tc>
        <w:tc>
          <w:tcPr>
            <w:tcW w:w="697" w:type="pct"/>
            <w:vAlign w:val="center"/>
          </w:tcPr>
          <w:p>
            <w:pPr>
              <w:ind w:firstLine="0" w:firstLineChars="0"/>
              <w:rPr>
                <w:rFonts w:ascii="仿宋" w:hAnsi="仿宋" w:cs="仿宋"/>
                <w:szCs w:val="24"/>
              </w:rPr>
            </w:pPr>
            <w:r>
              <w:rPr>
                <w:rFonts w:hint="eastAsia" w:ascii="仿宋" w:hAnsi="仿宋" w:cs="仿宋"/>
                <w:szCs w:val="24"/>
              </w:rPr>
              <w:t>试剂耗材二</w:t>
            </w:r>
          </w:p>
        </w:tc>
        <w:tc>
          <w:tcPr>
            <w:tcW w:w="83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780"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27.67</w:t>
            </w:r>
          </w:p>
        </w:tc>
        <w:tc>
          <w:tcPr>
            <w:tcW w:w="2338" w:type="pct"/>
            <w:vMerge w:val="continue"/>
            <w:vAlign w:val="center"/>
          </w:tcPr>
          <w:p>
            <w:pPr>
              <w:ind w:firstLine="0" w:firstLineChars="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C</w:t>
            </w:r>
          </w:p>
        </w:tc>
        <w:tc>
          <w:tcPr>
            <w:tcW w:w="697" w:type="pct"/>
            <w:vAlign w:val="center"/>
          </w:tcPr>
          <w:p>
            <w:pPr>
              <w:ind w:firstLine="0" w:firstLineChars="0"/>
              <w:rPr>
                <w:rFonts w:ascii="仿宋" w:hAnsi="仿宋" w:cs="仿宋"/>
                <w:szCs w:val="24"/>
              </w:rPr>
            </w:pPr>
            <w:r>
              <w:rPr>
                <w:rFonts w:hint="eastAsia" w:ascii="仿宋" w:hAnsi="仿宋" w:cs="仿宋"/>
                <w:szCs w:val="24"/>
              </w:rPr>
              <w:t>试剂耗材三</w:t>
            </w:r>
          </w:p>
        </w:tc>
        <w:tc>
          <w:tcPr>
            <w:tcW w:w="83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780" w:type="pct"/>
            <w:vAlign w:val="center"/>
          </w:tcPr>
          <w:p>
            <w:pPr>
              <w:widowControl/>
              <w:ind w:firstLine="0" w:firstLineChars="0"/>
              <w:jc w:val="center"/>
              <w:textAlignment w:val="bottom"/>
              <w:rPr>
                <w:rFonts w:hint="eastAsia" w:ascii="仿宋" w:hAnsi="仿宋" w:eastAsia="仿宋" w:cs="仿宋"/>
                <w:szCs w:val="24"/>
                <w:lang w:eastAsia="zh-CN"/>
              </w:rPr>
            </w:pPr>
            <w:r>
              <w:rPr>
                <w:rFonts w:hint="eastAsia" w:ascii="仿宋" w:hAnsi="仿宋" w:cs="仿宋"/>
                <w:szCs w:val="24"/>
              </w:rPr>
              <w:t>24.1</w:t>
            </w:r>
            <w:r>
              <w:rPr>
                <w:rFonts w:hint="eastAsia" w:ascii="仿宋" w:hAnsi="仿宋" w:cs="仿宋"/>
                <w:szCs w:val="24"/>
                <w:lang w:val="en-US" w:eastAsia="zh-CN"/>
              </w:rPr>
              <w:t>1</w:t>
            </w:r>
          </w:p>
        </w:tc>
        <w:tc>
          <w:tcPr>
            <w:tcW w:w="2338" w:type="pct"/>
            <w:vMerge w:val="continue"/>
            <w:vAlign w:val="center"/>
          </w:tcPr>
          <w:p>
            <w:pPr>
              <w:ind w:firstLine="0" w:firstLineChars="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50" w:type="pct"/>
            <w:vAlign w:val="center"/>
          </w:tcPr>
          <w:p>
            <w:pPr>
              <w:ind w:firstLine="0" w:firstLineChars="0"/>
              <w:jc w:val="center"/>
              <w:rPr>
                <w:rFonts w:ascii="仿宋" w:hAnsi="仿宋" w:cs="仿宋"/>
                <w:szCs w:val="24"/>
              </w:rPr>
            </w:pPr>
            <w:r>
              <w:rPr>
                <w:rFonts w:hint="eastAsia" w:ascii="仿宋" w:hAnsi="仿宋" w:cs="仿宋"/>
                <w:szCs w:val="24"/>
              </w:rPr>
              <w:t>D</w:t>
            </w:r>
          </w:p>
        </w:tc>
        <w:tc>
          <w:tcPr>
            <w:tcW w:w="697" w:type="pct"/>
            <w:vAlign w:val="center"/>
          </w:tcPr>
          <w:p>
            <w:pPr>
              <w:ind w:firstLine="0" w:firstLineChars="0"/>
              <w:rPr>
                <w:rFonts w:ascii="仿宋" w:hAnsi="仿宋" w:cs="仿宋"/>
                <w:szCs w:val="24"/>
              </w:rPr>
            </w:pPr>
            <w:r>
              <w:rPr>
                <w:rFonts w:hint="eastAsia" w:ascii="仿宋" w:hAnsi="仿宋" w:cs="仿宋"/>
                <w:szCs w:val="24"/>
              </w:rPr>
              <w:t>试剂耗材四</w:t>
            </w:r>
          </w:p>
        </w:tc>
        <w:tc>
          <w:tcPr>
            <w:tcW w:w="83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详见技术参数</w:t>
            </w:r>
          </w:p>
        </w:tc>
        <w:tc>
          <w:tcPr>
            <w:tcW w:w="780"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30.84</w:t>
            </w:r>
          </w:p>
        </w:tc>
        <w:tc>
          <w:tcPr>
            <w:tcW w:w="2338" w:type="pct"/>
            <w:vMerge w:val="continue"/>
            <w:vAlign w:val="center"/>
          </w:tcPr>
          <w:p>
            <w:pPr>
              <w:ind w:firstLine="0" w:firstLineChars="0"/>
              <w:rPr>
                <w:rFonts w:ascii="仿宋" w:hAnsi="仿宋" w:cs="仿宋"/>
                <w:szCs w:val="24"/>
              </w:rPr>
            </w:pPr>
          </w:p>
        </w:tc>
      </w:tr>
    </w:tbl>
    <w:p>
      <w:pPr>
        <w:pStyle w:val="30"/>
        <w:spacing w:line="360" w:lineRule="auto"/>
        <w:ind w:firstLine="482"/>
        <w:rPr>
          <w:rFonts w:ascii="仿宋" w:hAnsi="仿宋" w:cs="仿宋"/>
          <w:b/>
        </w:rPr>
      </w:pPr>
      <w:r>
        <w:rPr>
          <w:rFonts w:hint="eastAsia" w:ascii="仿宋" w:hAnsi="仿宋" w:cs="仿宋"/>
          <w:b/>
        </w:rPr>
        <w:t>四、磋商文件发售的时间、地点、售价及方式</w:t>
      </w:r>
    </w:p>
    <w:p>
      <w:pPr>
        <w:pStyle w:val="30"/>
        <w:spacing w:line="360" w:lineRule="auto"/>
        <w:ind w:firstLine="480"/>
        <w:rPr>
          <w:rFonts w:ascii="仿宋" w:hAnsi="仿宋" w:cs="仿宋"/>
        </w:rPr>
      </w:pPr>
      <w:r>
        <w:rPr>
          <w:rFonts w:hint="eastAsia" w:ascii="仿宋" w:hAnsi="仿宋" w:cs="仿宋"/>
        </w:rPr>
        <w:t>1、时间：2023年</w:t>
      </w:r>
      <w:r>
        <w:rPr>
          <w:rFonts w:hint="eastAsia" w:ascii="仿宋" w:hAnsi="仿宋" w:cs="仿宋"/>
          <w:lang w:val="en-US" w:eastAsia="zh-CN"/>
        </w:rPr>
        <w:t>6月22</w:t>
      </w:r>
      <w:r>
        <w:rPr>
          <w:rFonts w:hint="eastAsia" w:ascii="仿宋" w:hAnsi="仿宋" w:cs="仿宋"/>
        </w:rPr>
        <w:t>日至2023年</w:t>
      </w:r>
      <w:r>
        <w:rPr>
          <w:rFonts w:hint="eastAsia" w:ascii="仿宋" w:hAnsi="仿宋" w:cs="仿宋"/>
          <w:lang w:val="en-US" w:eastAsia="zh-CN"/>
        </w:rPr>
        <w:t>6</w:t>
      </w:r>
      <w:r>
        <w:rPr>
          <w:rFonts w:hint="eastAsia" w:ascii="仿宋" w:hAnsi="仿宋" w:cs="仿宋"/>
        </w:rPr>
        <w:t>月</w:t>
      </w:r>
      <w:r>
        <w:rPr>
          <w:rFonts w:hint="eastAsia" w:ascii="仿宋" w:hAnsi="仿宋" w:cs="仿宋"/>
          <w:lang w:val="en-US" w:eastAsia="zh-CN"/>
        </w:rPr>
        <w:t>29</w:t>
      </w:r>
      <w:r>
        <w:rPr>
          <w:rFonts w:hint="eastAsia" w:ascii="仿宋" w:hAnsi="仿宋" w:cs="仿宋"/>
        </w:rPr>
        <w:t>日，每天8:30-11:30、13:30-16:30（节假日除外）。</w:t>
      </w:r>
    </w:p>
    <w:p>
      <w:pPr>
        <w:pStyle w:val="30"/>
        <w:spacing w:line="360" w:lineRule="auto"/>
        <w:ind w:firstLine="480"/>
        <w:rPr>
          <w:rFonts w:ascii="仿宋" w:hAnsi="仿宋" w:cs="仿宋"/>
        </w:rPr>
      </w:pPr>
      <w:r>
        <w:rPr>
          <w:rFonts w:hint="eastAsia" w:ascii="仿宋" w:hAnsi="仿宋" w:cs="仿宋"/>
        </w:rPr>
        <w:t>2、地点：济南市历下区经十路13777号中润世纪广场18号楼603(山东华仁永旺招标有限公司)。</w:t>
      </w:r>
    </w:p>
    <w:p>
      <w:pPr>
        <w:pStyle w:val="30"/>
        <w:spacing w:line="360" w:lineRule="auto"/>
        <w:ind w:firstLine="480"/>
        <w:rPr>
          <w:rFonts w:ascii="仿宋" w:hAnsi="仿宋" w:cs="仿宋"/>
        </w:rPr>
      </w:pPr>
      <w:r>
        <w:rPr>
          <w:rFonts w:hint="eastAsia" w:ascii="仿宋" w:hAnsi="仿宋" w:cs="仿宋"/>
        </w:rPr>
        <w:t>3、售价：400元/包，磋商文件售出不退。开户单位：山东华仁永旺招标有限公司，开户银行：中国工商银行济南高新支行，账号：1602023609200296250。</w:t>
      </w:r>
    </w:p>
    <w:p>
      <w:pPr>
        <w:pStyle w:val="30"/>
        <w:spacing w:line="360" w:lineRule="auto"/>
        <w:ind w:firstLine="480"/>
        <w:rPr>
          <w:rFonts w:ascii="仿宋" w:hAnsi="仿宋" w:cs="仿宋"/>
        </w:rPr>
      </w:pPr>
      <w:r>
        <w:rPr>
          <w:rFonts w:hint="eastAsia" w:ascii="仿宋" w:hAnsi="仿宋" w:cs="仿宋"/>
        </w:rPr>
        <w:t>4、报名方式：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报名费转账必须公对公转账并备注“23-13</w:t>
      </w:r>
      <w:r>
        <w:rPr>
          <w:rFonts w:hint="eastAsia" w:ascii="仿宋" w:hAnsi="仿宋" w:cs="仿宋"/>
          <w:b/>
          <w:bCs/>
          <w:lang w:val="en-US" w:eastAsia="zh-CN"/>
        </w:rPr>
        <w:t>4</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p>
    <w:p>
      <w:pPr>
        <w:pStyle w:val="30"/>
        <w:spacing w:line="360" w:lineRule="auto"/>
        <w:ind w:firstLine="482"/>
        <w:rPr>
          <w:rFonts w:ascii="仿宋" w:hAnsi="仿宋" w:cs="仿宋"/>
          <w:b/>
        </w:rPr>
      </w:pPr>
      <w:r>
        <w:rPr>
          <w:rFonts w:hint="eastAsia" w:ascii="仿宋" w:hAnsi="仿宋" w:cs="仿宋"/>
          <w:b/>
        </w:rPr>
        <w:t>五、响应文件的递交</w:t>
      </w:r>
    </w:p>
    <w:p>
      <w:pPr>
        <w:pStyle w:val="30"/>
        <w:spacing w:line="360" w:lineRule="auto"/>
        <w:ind w:firstLine="480"/>
        <w:rPr>
          <w:rFonts w:ascii="仿宋" w:hAnsi="仿宋" w:cs="仿宋"/>
        </w:rPr>
      </w:pPr>
      <w:r>
        <w:rPr>
          <w:rFonts w:hint="eastAsia" w:ascii="仿宋" w:hAnsi="仿宋" w:cs="仿宋"/>
        </w:rPr>
        <w:t>1、递交响应文件时间：2023年</w:t>
      </w:r>
      <w:r>
        <w:rPr>
          <w:rFonts w:hint="eastAsia" w:ascii="仿宋" w:hAnsi="仿宋" w:cs="仿宋"/>
          <w:lang w:val="en-US" w:eastAsia="zh-CN"/>
        </w:rPr>
        <w:t>7</w:t>
      </w:r>
      <w:r>
        <w:rPr>
          <w:rFonts w:hint="eastAsia" w:ascii="仿宋" w:hAnsi="仿宋" w:cs="仿宋"/>
        </w:rPr>
        <w:t>月</w:t>
      </w:r>
      <w:r>
        <w:rPr>
          <w:rFonts w:hint="eastAsia" w:ascii="仿宋" w:hAnsi="仿宋" w:cs="仿宋"/>
          <w:lang w:val="en-US" w:eastAsia="zh-CN"/>
        </w:rPr>
        <w:t>3</w:t>
      </w:r>
      <w:r>
        <w:rPr>
          <w:rFonts w:hint="eastAsia" w:ascii="仿宋" w:hAnsi="仿宋" w:cs="仿宋"/>
        </w:rPr>
        <w:t>日08:30-9:00（北京时间）。</w:t>
      </w:r>
    </w:p>
    <w:p>
      <w:pPr>
        <w:pStyle w:val="30"/>
        <w:spacing w:line="360" w:lineRule="auto"/>
        <w:ind w:firstLine="480"/>
        <w:rPr>
          <w:rFonts w:ascii="仿宋" w:hAnsi="仿宋" w:cs="仿宋"/>
        </w:rPr>
      </w:pPr>
      <w:r>
        <w:rPr>
          <w:rFonts w:hint="eastAsia" w:ascii="仿宋" w:hAnsi="仿宋" w:cs="仿宋"/>
        </w:rPr>
        <w:t>2、递交响应文件截止时间：2023年</w:t>
      </w:r>
      <w:r>
        <w:rPr>
          <w:rFonts w:hint="eastAsia" w:ascii="仿宋" w:hAnsi="仿宋" w:cs="仿宋"/>
          <w:lang w:val="en-US" w:eastAsia="zh-CN"/>
        </w:rPr>
        <w:t>7</w:t>
      </w:r>
      <w:r>
        <w:rPr>
          <w:rFonts w:hint="eastAsia" w:ascii="仿宋" w:hAnsi="仿宋" w:cs="仿宋"/>
        </w:rPr>
        <w:t>月</w:t>
      </w:r>
      <w:r>
        <w:rPr>
          <w:rFonts w:hint="eastAsia" w:ascii="仿宋" w:hAnsi="仿宋" w:cs="仿宋"/>
          <w:lang w:val="en-US" w:eastAsia="zh-CN"/>
        </w:rPr>
        <w:t>3</w:t>
      </w:r>
      <w:r>
        <w:rPr>
          <w:rFonts w:hint="eastAsia" w:ascii="仿宋" w:hAnsi="仿宋" w:cs="仿宋"/>
        </w:rPr>
        <w:t>日09:00（北京时间），逾期递交的响应文件不予接收。</w:t>
      </w:r>
    </w:p>
    <w:p>
      <w:pPr>
        <w:pStyle w:val="30"/>
        <w:spacing w:line="360" w:lineRule="auto"/>
        <w:ind w:firstLine="480"/>
        <w:rPr>
          <w:rFonts w:ascii="仿宋" w:hAnsi="仿宋" w:cs="仿宋"/>
        </w:rPr>
      </w:pPr>
      <w:r>
        <w:rPr>
          <w:rFonts w:hint="eastAsia" w:ascii="仿宋" w:hAnsi="仿宋" w:cs="仿宋"/>
        </w:rPr>
        <w:t>3、递交响应文件地点：济南市历下区经十路13777号中润世纪广场18号楼603A。</w:t>
      </w:r>
    </w:p>
    <w:p>
      <w:pPr>
        <w:pStyle w:val="30"/>
        <w:spacing w:line="360" w:lineRule="auto"/>
        <w:ind w:firstLine="482"/>
        <w:rPr>
          <w:rFonts w:ascii="仿宋" w:hAnsi="仿宋" w:cs="仿宋"/>
          <w:b/>
        </w:rPr>
      </w:pPr>
      <w:r>
        <w:rPr>
          <w:rFonts w:hint="eastAsia" w:ascii="仿宋" w:hAnsi="仿宋" w:cs="仿宋"/>
          <w:b/>
        </w:rPr>
        <w:t>六、采购人信息</w:t>
      </w:r>
    </w:p>
    <w:p>
      <w:pPr>
        <w:pStyle w:val="30"/>
        <w:spacing w:line="360" w:lineRule="auto"/>
        <w:ind w:firstLine="480"/>
        <w:rPr>
          <w:rFonts w:ascii="仿宋" w:hAnsi="仿宋" w:cs="仿宋"/>
        </w:rPr>
      </w:pPr>
      <w:r>
        <w:rPr>
          <w:rFonts w:hint="eastAsia" w:ascii="仿宋" w:hAnsi="仿宋" w:cs="仿宋"/>
        </w:rPr>
        <w:t>1、名称：山东第一医科大学（山东省医学科学院）</w:t>
      </w:r>
    </w:p>
    <w:p>
      <w:pPr>
        <w:pStyle w:val="30"/>
        <w:spacing w:line="360" w:lineRule="auto"/>
        <w:ind w:firstLine="482"/>
        <w:rPr>
          <w:rFonts w:ascii="仿宋" w:hAnsi="仿宋" w:cs="仿宋"/>
          <w:b/>
        </w:rPr>
      </w:pPr>
      <w:r>
        <w:rPr>
          <w:rFonts w:hint="eastAsia" w:ascii="仿宋" w:hAnsi="仿宋" w:cs="仿宋"/>
          <w:b/>
        </w:rPr>
        <w:t>七、采购代理机构信息</w:t>
      </w:r>
    </w:p>
    <w:p>
      <w:pPr>
        <w:pStyle w:val="30"/>
        <w:spacing w:line="360" w:lineRule="auto"/>
        <w:ind w:firstLine="480"/>
        <w:rPr>
          <w:rFonts w:ascii="仿宋" w:hAnsi="仿宋" w:cs="仿宋"/>
        </w:rPr>
      </w:pPr>
      <w:r>
        <w:rPr>
          <w:rFonts w:hint="eastAsia" w:ascii="仿宋" w:hAnsi="仿宋" w:cs="仿宋"/>
        </w:rPr>
        <w:t>1、名称：山东华仁永旺招标有限公司</w:t>
      </w:r>
    </w:p>
    <w:p>
      <w:pPr>
        <w:pStyle w:val="30"/>
        <w:spacing w:line="360" w:lineRule="auto"/>
        <w:ind w:firstLine="480"/>
        <w:rPr>
          <w:rFonts w:ascii="仿宋" w:hAnsi="仿宋" w:cs="仿宋"/>
        </w:rPr>
      </w:pPr>
      <w:r>
        <w:rPr>
          <w:rFonts w:hint="eastAsia" w:ascii="仿宋" w:hAnsi="仿宋" w:cs="仿宋"/>
        </w:rPr>
        <w:t>2、地址：济南市历下区经十路13777号中润世纪广场18号楼603A</w:t>
      </w:r>
    </w:p>
    <w:p>
      <w:pPr>
        <w:pStyle w:val="30"/>
        <w:spacing w:line="360" w:lineRule="auto"/>
        <w:ind w:firstLine="480"/>
        <w:rPr>
          <w:rFonts w:ascii="仿宋" w:hAnsi="仿宋" w:cs="仿宋"/>
        </w:rPr>
      </w:pPr>
      <w:r>
        <w:rPr>
          <w:rFonts w:hint="eastAsia" w:ascii="仿宋" w:hAnsi="仿宋" w:cs="仿宋"/>
        </w:rPr>
        <w:t>3、项目联系人：于美玲、葛东银</w:t>
      </w:r>
    </w:p>
    <w:p>
      <w:pPr>
        <w:pStyle w:val="30"/>
        <w:spacing w:line="360" w:lineRule="auto"/>
        <w:ind w:firstLine="480"/>
        <w:rPr>
          <w:rFonts w:ascii="仿宋" w:hAnsi="仿宋" w:cs="仿宋"/>
        </w:rPr>
      </w:pPr>
      <w:r>
        <w:rPr>
          <w:rFonts w:hint="eastAsia" w:ascii="仿宋" w:hAnsi="仿宋" w:cs="仿宋"/>
        </w:rPr>
        <w:t>4、报名咨询电话：</w:t>
      </w:r>
      <w:r>
        <w:rPr>
          <w:rFonts w:hint="eastAsia" w:ascii="仿宋" w:hAnsi="仿宋" w:cs="仿宋"/>
          <w:lang w:val="en-US" w:eastAsia="zh-CN"/>
        </w:rPr>
        <w:t>0531-88589237</w:t>
      </w:r>
      <w:r>
        <w:rPr>
          <w:rFonts w:hint="eastAsia" w:ascii="仿宋" w:hAnsi="仿宋" w:cs="仿宋"/>
        </w:rPr>
        <w:t xml:space="preserve"> </w:t>
      </w:r>
    </w:p>
    <w:p>
      <w:pPr>
        <w:pStyle w:val="30"/>
        <w:spacing w:line="360" w:lineRule="auto"/>
        <w:ind w:firstLine="480"/>
        <w:rPr>
          <w:rFonts w:ascii="仿宋" w:hAnsi="仿宋" w:cs="仿宋"/>
        </w:rPr>
      </w:pPr>
      <w:r>
        <w:rPr>
          <w:rFonts w:hint="eastAsia" w:ascii="仿宋" w:hAnsi="仿宋" w:cs="仿宋"/>
        </w:rPr>
        <w:t>5、开户名称：山东华仁永旺招标有限公司</w:t>
      </w:r>
    </w:p>
    <w:p>
      <w:pPr>
        <w:pStyle w:val="30"/>
        <w:spacing w:line="360" w:lineRule="auto"/>
        <w:ind w:firstLine="480"/>
        <w:rPr>
          <w:rFonts w:ascii="仿宋" w:hAnsi="仿宋" w:cs="仿宋"/>
        </w:rPr>
      </w:pPr>
      <w:r>
        <w:rPr>
          <w:rFonts w:hint="eastAsia" w:ascii="仿宋" w:hAnsi="仿宋" w:cs="仿宋"/>
        </w:rPr>
        <w:t>6、开户银行：中国工商银行济南高新支行</w:t>
      </w:r>
    </w:p>
    <w:p>
      <w:pPr>
        <w:pStyle w:val="30"/>
        <w:spacing w:line="360" w:lineRule="auto"/>
        <w:ind w:firstLine="480"/>
        <w:rPr>
          <w:rFonts w:ascii="仿宋" w:hAnsi="仿宋" w:cs="仿宋"/>
        </w:rPr>
      </w:pPr>
      <w:r>
        <w:rPr>
          <w:rFonts w:hint="eastAsia" w:ascii="仿宋" w:hAnsi="仿宋" w:cs="仿宋"/>
        </w:rPr>
        <w:t>7、账    号：1602023609200296250</w:t>
      </w: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ind w:firstLine="643"/>
        <w:rPr>
          <w:rFonts w:ascii="仿宋" w:hAnsi="仿宋" w:cs="仿宋"/>
          <w:b/>
          <w:sz w:val="32"/>
          <w:szCs w:val="32"/>
        </w:rPr>
      </w:pPr>
      <w:bookmarkStart w:id="1" w:name="_Toc81467278"/>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r>
        <w:rPr>
          <w:rFonts w:hint="eastAsia" w:ascii="仿宋" w:hAnsi="仿宋" w:cs="仿宋"/>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2"/>
        <w:gridCol w:w="1827"/>
        <w:gridCol w:w="713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仿宋" w:hAnsi="仿宋" w:cs="仿宋"/>
                <w:b/>
                <w:szCs w:val="24"/>
              </w:rPr>
            </w:pPr>
            <w:r>
              <w:rPr>
                <w:rFonts w:hint="eastAsia" w:ascii="仿宋" w:hAnsi="仿宋" w:cs="仿宋"/>
                <w:b/>
                <w:szCs w:val="24"/>
              </w:rPr>
              <w:t>序号</w:t>
            </w:r>
          </w:p>
        </w:tc>
        <w:tc>
          <w:tcPr>
            <w:tcW w:w="1843" w:type="dxa"/>
            <w:vAlign w:val="center"/>
          </w:tcPr>
          <w:p>
            <w:pPr>
              <w:ind w:firstLine="0" w:firstLineChars="0"/>
              <w:jc w:val="center"/>
              <w:rPr>
                <w:rFonts w:ascii="仿宋" w:hAnsi="仿宋" w:cs="仿宋"/>
                <w:b/>
                <w:szCs w:val="24"/>
              </w:rPr>
            </w:pPr>
            <w:r>
              <w:rPr>
                <w:rFonts w:hint="eastAsia" w:ascii="仿宋" w:hAnsi="仿宋" w:cs="仿宋"/>
                <w:b/>
                <w:szCs w:val="24"/>
              </w:rPr>
              <w:t>内容</w:t>
            </w:r>
          </w:p>
        </w:tc>
        <w:tc>
          <w:tcPr>
            <w:tcW w:w="7114" w:type="dxa"/>
            <w:vAlign w:val="center"/>
          </w:tcPr>
          <w:p>
            <w:pPr>
              <w:ind w:firstLine="0" w:firstLineChars="0"/>
              <w:jc w:val="center"/>
              <w:rPr>
                <w:rFonts w:ascii="仿宋" w:hAnsi="仿宋" w:cs="仿宋"/>
                <w:b/>
                <w:szCs w:val="24"/>
              </w:rPr>
            </w:pPr>
            <w:r>
              <w:rPr>
                <w:rFonts w:hint="eastAsia" w:ascii="仿宋" w:hAnsi="仿宋" w:cs="仿宋"/>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采购人</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采购代理机构</w:t>
            </w:r>
          </w:p>
        </w:tc>
        <w:tc>
          <w:tcPr>
            <w:tcW w:w="7114" w:type="dxa"/>
            <w:vAlign w:val="center"/>
          </w:tcPr>
          <w:p>
            <w:pPr>
              <w:ind w:firstLine="0" w:firstLineChars="0"/>
              <w:rPr>
                <w:rFonts w:ascii="仿宋" w:hAnsi="仿宋" w:cs="仿宋"/>
              </w:rPr>
            </w:pPr>
            <w:r>
              <w:rPr>
                <w:rFonts w:hint="eastAsia" w:ascii="仿宋" w:hAnsi="仿宋" w:cs="仿宋"/>
              </w:rPr>
              <w:t>名称：山东华仁永旺招标有限公司</w:t>
            </w:r>
          </w:p>
          <w:p>
            <w:pPr>
              <w:ind w:firstLine="0" w:firstLineChars="0"/>
              <w:rPr>
                <w:rFonts w:ascii="仿宋" w:hAnsi="仿宋" w:cs="仿宋"/>
              </w:rPr>
            </w:pPr>
            <w:r>
              <w:rPr>
                <w:rFonts w:hint="eastAsia" w:ascii="仿宋" w:hAnsi="仿宋" w:cs="仿宋"/>
              </w:rPr>
              <w:t>地址：济南市历下区经十路13777号中润世纪广场18号楼603A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供应商特定资格要求</w:t>
            </w:r>
          </w:p>
        </w:tc>
        <w:tc>
          <w:tcPr>
            <w:tcW w:w="7114" w:type="dxa"/>
            <w:vAlign w:val="center"/>
          </w:tcPr>
          <w:p>
            <w:pPr>
              <w:ind w:firstLine="0" w:firstLineChars="0"/>
              <w:rPr>
                <w:rFonts w:ascii="仿宋" w:hAnsi="仿宋" w:cs="仿宋"/>
              </w:rPr>
            </w:pPr>
            <w:r>
              <w:rPr>
                <w:rFonts w:hint="eastAsia" w:ascii="仿宋" w:hAnsi="仿宋" w:cs="仿宋"/>
                <w:szCs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ascii="仿宋" w:hAnsi="仿宋" w:cs="仿宋"/>
              </w:rPr>
            </w:pPr>
            <w:r>
              <w:rPr>
                <w:rFonts w:hint="eastAsia" w:ascii="仿宋" w:hAnsi="仿宋" w:cs="仿宋"/>
              </w:rPr>
              <w:t>37000000014006520230135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5</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rPr>
              <w:t>资金性质</w:t>
            </w:r>
          </w:p>
        </w:tc>
        <w:tc>
          <w:tcPr>
            <w:tcW w:w="7114" w:type="dxa"/>
            <w:vAlign w:val="center"/>
          </w:tcPr>
          <w:p>
            <w:pPr>
              <w:ind w:firstLine="0" w:firstLineChars="0"/>
              <w:jc w:val="both"/>
              <w:rPr>
                <w:rFonts w:ascii="仿宋" w:hAnsi="仿宋" w:cs="仿宋"/>
              </w:rPr>
            </w:pPr>
            <w:r>
              <w:rPr>
                <w:rFonts w:hint="eastAsia" w:ascii="仿宋" w:hAnsi="仿宋" w:cs="仿宋"/>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6</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采购方式</w:t>
            </w:r>
          </w:p>
        </w:tc>
        <w:tc>
          <w:tcPr>
            <w:tcW w:w="7114" w:type="dxa"/>
            <w:vAlign w:val="center"/>
          </w:tcPr>
          <w:p>
            <w:pPr>
              <w:ind w:firstLine="0" w:firstLineChars="0"/>
              <w:jc w:val="both"/>
              <w:rPr>
                <w:rFonts w:ascii="仿宋" w:hAnsi="仿宋" w:cs="仿宋"/>
              </w:rPr>
            </w:pPr>
            <w:r>
              <w:rPr>
                <w:rFonts w:hint="eastAsia" w:ascii="仿宋" w:hAnsi="仿宋" w:cs="仿宋"/>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rPr>
            </w:pPr>
            <w:r>
              <w:rPr>
                <w:rFonts w:hint="eastAsia" w:ascii="仿宋" w:hAnsi="仿宋" w:cs="仿宋"/>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rPr>
            </w:pPr>
            <w:r>
              <w:rPr>
                <w:rFonts w:hint="eastAsia" w:ascii="仿宋" w:hAnsi="仿宋" w:cs="仿宋"/>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9</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是否专门面向中小微企业采购</w:t>
            </w:r>
          </w:p>
        </w:tc>
        <w:tc>
          <w:tcPr>
            <w:tcW w:w="7114" w:type="dxa"/>
            <w:vAlign w:val="center"/>
          </w:tcPr>
          <w:p>
            <w:pPr>
              <w:adjustRightInd w:val="0"/>
              <w:snapToGrid w:val="0"/>
              <w:ind w:firstLine="0" w:firstLineChars="0"/>
              <w:rPr>
                <w:rFonts w:ascii="仿宋" w:hAnsi="仿宋" w:cs="仿宋"/>
              </w:rPr>
            </w:pPr>
            <w:r>
              <w:rPr>
                <w:rFonts w:hint="eastAsia" w:ascii="仿宋" w:hAnsi="仿宋" w:cs="仿宋"/>
              </w:rPr>
              <w:t>□是</w:t>
            </w:r>
          </w:p>
          <w:p>
            <w:pPr>
              <w:ind w:firstLine="0" w:firstLineChars="0"/>
              <w:jc w:val="both"/>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10</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中小企业划分标准中采购标的所属行业</w:t>
            </w:r>
          </w:p>
        </w:tc>
        <w:tc>
          <w:tcPr>
            <w:tcW w:w="7114" w:type="dxa"/>
            <w:vAlign w:val="center"/>
          </w:tcPr>
          <w:p>
            <w:pPr>
              <w:ind w:firstLine="0" w:firstLineChars="0"/>
              <w:jc w:val="both"/>
              <w:rPr>
                <w:rFonts w:ascii="仿宋" w:hAnsi="仿宋" w:cs="仿宋"/>
              </w:rPr>
            </w:pPr>
            <w:r>
              <w:rPr>
                <w:rFonts w:hint="eastAsia" w:ascii="仿宋" w:hAnsi="仿宋" w:cs="仿宋"/>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是否允许分包、转包</w:t>
            </w:r>
          </w:p>
        </w:tc>
        <w:tc>
          <w:tcPr>
            <w:tcW w:w="7114" w:type="dxa"/>
            <w:vAlign w:val="center"/>
          </w:tcPr>
          <w:p>
            <w:pPr>
              <w:adjustRightInd w:val="0"/>
              <w:snapToGrid w:val="0"/>
              <w:ind w:firstLine="0" w:firstLineChars="0"/>
              <w:rPr>
                <w:rFonts w:ascii="仿宋" w:hAnsi="仿宋" w:cs="仿宋"/>
              </w:rPr>
            </w:pPr>
            <w:r>
              <w:rPr>
                <w:rFonts w:hint="eastAsia" w:ascii="仿宋" w:hAnsi="仿宋" w:cs="仿宋"/>
              </w:rPr>
              <w:t>□是</w:t>
            </w:r>
          </w:p>
          <w:p>
            <w:pPr>
              <w:adjustRightInd w:val="0"/>
              <w:snapToGrid w:val="0"/>
              <w:ind w:firstLine="0" w:firstLineChars="0"/>
              <w:jc w:val="both"/>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仿宋" w:hAnsi="仿宋" w:cs="仿宋"/>
              </w:rPr>
            </w:pPr>
            <w:r>
              <w:rPr>
                <w:rFonts w:hint="eastAsia" w:ascii="仿宋" w:hAnsi="仿宋" w:cs="仿宋"/>
              </w:rPr>
              <w:t>☑不允许</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szCs w:val="24"/>
              </w:rPr>
              <w:t>允许，备选报价方案的编制要求、评审办法：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☑不需提交样品</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☑不需演示</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☑不组织</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□是</w:t>
            </w:r>
          </w:p>
          <w:p>
            <w:pPr>
              <w:adjustRightInd w:val="0"/>
              <w:snapToGrid w:val="0"/>
              <w:ind w:firstLine="0" w:firstLineChars="0"/>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通过资格性审查和符合性审查的供应商有再次报价的机会，但每一次报价均应以书面形式确认，价格的评审以最终报价为准。</w:t>
            </w:r>
          </w:p>
          <w:p>
            <w:pPr>
              <w:adjustRightInd w:val="0"/>
              <w:snapToGrid w:val="0"/>
              <w:ind w:firstLine="0" w:firstLineChars="0"/>
              <w:rPr>
                <w:rFonts w:ascii="仿宋" w:hAnsi="仿宋" w:cs="仿宋"/>
                <w:b/>
              </w:rPr>
            </w:pPr>
            <w:r>
              <w:rPr>
                <w:rFonts w:hint="eastAsia" w:ascii="仿宋" w:hAnsi="仿宋" w:cs="仿宋"/>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19</w:t>
            </w:r>
          </w:p>
        </w:tc>
        <w:tc>
          <w:tcPr>
            <w:tcW w:w="1843" w:type="dxa"/>
            <w:vAlign w:val="center"/>
          </w:tcPr>
          <w:p>
            <w:pPr>
              <w:ind w:firstLine="0" w:firstLineChars="0"/>
              <w:jc w:val="center"/>
              <w:rPr>
                <w:rFonts w:ascii="仿宋" w:hAnsi="仿宋" w:cs="仿宋"/>
                <w:szCs w:val="24"/>
              </w:rPr>
            </w:pPr>
            <w:r>
              <w:rPr>
                <w:rFonts w:hint="eastAsia" w:ascii="仿宋" w:hAnsi="仿宋" w:cs="仿宋"/>
                <w:szCs w:val="24"/>
                <w:lang w:val="en-GB"/>
              </w:rPr>
              <w:t>报价方式</w:t>
            </w:r>
          </w:p>
        </w:tc>
        <w:tc>
          <w:tcPr>
            <w:tcW w:w="7114" w:type="dxa"/>
            <w:vAlign w:val="center"/>
          </w:tcPr>
          <w:p>
            <w:pPr>
              <w:ind w:firstLine="0" w:firstLineChars="0"/>
              <w:jc w:val="both"/>
              <w:rPr>
                <w:rFonts w:ascii="仿宋" w:hAnsi="仿宋" w:cs="仿宋"/>
              </w:rPr>
            </w:pPr>
            <w:r>
              <w:rPr>
                <w:rFonts w:hint="eastAsia" w:ascii="仿宋" w:hAnsi="仿宋" w:cs="仿宋"/>
              </w:rPr>
              <w:t>本项目为交钥匙工程。</w:t>
            </w:r>
          </w:p>
          <w:p>
            <w:pPr>
              <w:ind w:firstLine="0" w:firstLineChars="0"/>
              <w:jc w:val="both"/>
              <w:rPr>
                <w:rFonts w:ascii="仿宋" w:hAnsi="仿宋" w:cs="仿宋"/>
              </w:rPr>
            </w:pPr>
            <w:r>
              <w:rPr>
                <w:rFonts w:hint="eastAsia" w:ascii="仿宋" w:hAnsi="仿宋" w:cs="仿宋"/>
              </w:rPr>
              <w:t>本项目非一次性报价。</w:t>
            </w:r>
          </w:p>
          <w:p>
            <w:pPr>
              <w:ind w:firstLine="0" w:firstLineChars="0"/>
              <w:jc w:val="both"/>
              <w:rPr>
                <w:rFonts w:ascii="仿宋" w:hAnsi="仿宋" w:cs="仿宋"/>
              </w:rPr>
            </w:pPr>
            <w:r>
              <w:rPr>
                <w:rFonts w:hint="eastAsia" w:ascii="仿宋" w:hAnsi="仿宋" w:cs="仿宋"/>
              </w:rPr>
              <w:t xml:space="preserve">国产设备：人民币完税报价； </w:t>
            </w:r>
          </w:p>
          <w:p>
            <w:pPr>
              <w:ind w:firstLine="0" w:firstLineChars="0"/>
              <w:jc w:val="both"/>
              <w:rPr>
                <w:rFonts w:ascii="仿宋" w:hAnsi="仿宋" w:cs="仿宋"/>
              </w:rPr>
            </w:pPr>
            <w:r>
              <w:rPr>
                <w:rFonts w:hint="eastAsia" w:ascii="仿宋" w:hAnsi="仿宋" w:cs="仿宋"/>
              </w:rPr>
              <w:t>进口非免税设备：人民币完税报价。（进口设备报价须包含惩罚性关税，惩罚性关税+投标报价+外贸代理费不可超出分包预算；成交供应商承担相应的关税风险，所有报价应包括设备费、包装、运输、服务、备件、卸车、保管、安装、检验、验收、策划、设计及其他附带服务的费用、利润以及质保期内的售后服务及磋商文件明示或隐含的全部费用）。</w:t>
            </w:r>
          </w:p>
          <w:p>
            <w:pPr>
              <w:ind w:firstLine="0" w:firstLineChars="0"/>
              <w:jc w:val="both"/>
              <w:rPr>
                <w:rFonts w:ascii="仿宋" w:hAnsi="仿宋" w:cs="仿宋"/>
              </w:rPr>
            </w:pPr>
            <w:r>
              <w:rPr>
                <w:rFonts w:hint="eastAsia" w:ascii="仿宋" w:hAnsi="仿宋" w:cs="仿宋"/>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仿宋" w:hAnsi="仿宋" w:cs="仿宋"/>
              </w:rPr>
            </w:pPr>
            <w:r>
              <w:rPr>
                <w:rFonts w:hint="eastAsia" w:ascii="仿宋" w:hAnsi="仿宋" w:cs="仿宋"/>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仿宋" w:hAnsi="仿宋" w:cs="仿宋"/>
              </w:rPr>
            </w:pPr>
            <w:r>
              <w:rPr>
                <w:rFonts w:hint="eastAsia" w:ascii="仿宋" w:hAnsi="仿宋" w:cs="仿宋"/>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仿宋" w:hAnsi="仿宋" w:cs="仿宋"/>
              </w:rPr>
            </w:pPr>
            <w:r>
              <w:rPr>
                <w:rFonts w:hint="eastAsia" w:ascii="仿宋" w:hAnsi="仿宋" w:cs="仿宋"/>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20</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质保期</w:t>
            </w:r>
          </w:p>
        </w:tc>
        <w:tc>
          <w:tcPr>
            <w:tcW w:w="7114" w:type="dxa"/>
            <w:vAlign w:val="center"/>
          </w:tcPr>
          <w:p>
            <w:pPr>
              <w:ind w:firstLine="0" w:firstLineChars="0"/>
              <w:rPr>
                <w:rFonts w:ascii="仿宋" w:hAnsi="仿宋" w:cs="仿宋"/>
                <w:szCs w:val="24"/>
              </w:rPr>
            </w:pPr>
            <w:r>
              <w:rPr>
                <w:rFonts w:hint="eastAsia" w:ascii="仿宋" w:hAnsi="仿宋" w:cs="仿宋"/>
                <w:kern w:val="0"/>
                <w:szCs w:val="24"/>
              </w:rPr>
              <w:t>详见磋商文件“第八部分  技术要求及说明”具体要求。供应商可根据自身实际情况自报最长质保期。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供货期</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详见磋商文件“第八部分  技术要求及说明”具体要求。</w:t>
            </w:r>
          </w:p>
          <w:p>
            <w:pPr>
              <w:adjustRightInd w:val="0"/>
              <w:snapToGrid w:val="0"/>
              <w:ind w:firstLine="0" w:firstLineChars="0"/>
              <w:rPr>
                <w:rFonts w:ascii="仿宋" w:hAnsi="仿宋" w:cs="仿宋"/>
                <w:szCs w:val="24"/>
              </w:rPr>
            </w:pPr>
            <w:r>
              <w:rPr>
                <w:rFonts w:hint="eastAsia" w:ascii="仿宋" w:hAnsi="仿宋" w:cs="仿宋"/>
              </w:rPr>
              <w:t>供应商可根据自身实际情况自报最短供货期。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lang w:val="en-GB"/>
              </w:rPr>
              <w:t>22</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交货地点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23</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磋商保证金</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24</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付款方式及履约保证金</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25</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响应文件格式</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26</w:t>
            </w:r>
          </w:p>
        </w:tc>
        <w:tc>
          <w:tcPr>
            <w:tcW w:w="1843" w:type="dxa"/>
            <w:vAlign w:val="center"/>
          </w:tcPr>
          <w:p>
            <w:pPr>
              <w:adjustRightInd w:val="0"/>
              <w:snapToGrid w:val="0"/>
              <w:ind w:firstLine="0" w:firstLineChars="0"/>
              <w:jc w:val="center"/>
              <w:rPr>
                <w:rFonts w:ascii="仿宋" w:hAnsi="仿宋" w:cs="仿宋"/>
                <w:szCs w:val="24"/>
              </w:rPr>
            </w:pPr>
            <w:r>
              <w:rPr>
                <w:rFonts w:hint="eastAsia" w:ascii="仿宋" w:hAnsi="仿宋" w:cs="仿宋"/>
                <w:szCs w:val="24"/>
              </w:rPr>
              <w:t>响应文件组成、份数、密封要求</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正本一份，副本五份，报价一览表（一式三份），USB 接口设备存储的电子版响应文件一份（要求：可编辑WORD 版本）。</w:t>
            </w:r>
          </w:p>
          <w:p>
            <w:pPr>
              <w:adjustRightInd w:val="0"/>
              <w:snapToGrid w:val="0"/>
              <w:ind w:firstLine="0" w:firstLineChars="0"/>
              <w:rPr>
                <w:rFonts w:ascii="仿宋" w:hAnsi="仿宋" w:cs="仿宋"/>
                <w:szCs w:val="24"/>
              </w:rPr>
            </w:pPr>
            <w:r>
              <w:rPr>
                <w:rFonts w:hint="eastAsia" w:ascii="仿宋" w:hAnsi="仿宋" w:cs="仿宋"/>
                <w:szCs w:val="24"/>
              </w:rPr>
              <w:t>正本、副本、报价一览表、电子版响应文件分别单独密封。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27</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关于递交复印件的规定</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lang w:val="en-GB"/>
              </w:rPr>
              <w:t>28</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递交响应文件的时间和地点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7</w:t>
            </w:r>
            <w:r>
              <w:rPr>
                <w:rFonts w:hint="eastAsia" w:ascii="仿宋" w:hAnsi="仿宋" w:cs="仿宋"/>
                <w:szCs w:val="24"/>
              </w:rPr>
              <w:t>月</w:t>
            </w:r>
            <w:r>
              <w:rPr>
                <w:rFonts w:hint="eastAsia" w:ascii="仿宋" w:hAnsi="仿宋" w:cs="仿宋"/>
                <w:szCs w:val="24"/>
                <w:lang w:val="en-US" w:eastAsia="zh-CN"/>
              </w:rPr>
              <w:t>3</w:t>
            </w:r>
            <w:r>
              <w:rPr>
                <w:rFonts w:hint="eastAsia" w:ascii="仿宋" w:hAnsi="仿宋" w:cs="仿宋"/>
                <w:szCs w:val="24"/>
              </w:rPr>
              <w:t>日08:30-09:00（北京时间）</w:t>
            </w:r>
          </w:p>
          <w:p>
            <w:pPr>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29</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响应文件递交截止时间和地点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7</w:t>
            </w:r>
            <w:r>
              <w:rPr>
                <w:rFonts w:hint="eastAsia" w:ascii="仿宋" w:hAnsi="仿宋" w:cs="仿宋"/>
                <w:szCs w:val="24"/>
              </w:rPr>
              <w:t>月</w:t>
            </w:r>
            <w:r>
              <w:rPr>
                <w:rFonts w:hint="eastAsia" w:ascii="仿宋" w:hAnsi="仿宋" w:cs="仿宋"/>
                <w:szCs w:val="24"/>
                <w:lang w:val="en-US" w:eastAsia="zh-CN"/>
              </w:rPr>
              <w:t>3</w:t>
            </w:r>
            <w:r>
              <w:rPr>
                <w:rFonts w:hint="eastAsia" w:ascii="仿宋" w:hAnsi="仿宋" w:cs="仿宋"/>
                <w:szCs w:val="24"/>
              </w:rPr>
              <w:t>日09:00（北京时间）</w:t>
            </w:r>
          </w:p>
          <w:p>
            <w:pPr>
              <w:ind w:firstLine="0" w:firstLineChars="0"/>
              <w:rPr>
                <w:rFonts w:ascii="仿宋" w:hAnsi="仿宋" w:cs="仿宋"/>
              </w:rPr>
            </w:pPr>
            <w:r>
              <w:rPr>
                <w:rFonts w:hint="eastAsia" w:ascii="仿宋" w:hAnsi="仿宋" w:cs="仿宋"/>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30</w:t>
            </w:r>
          </w:p>
        </w:tc>
        <w:tc>
          <w:tcPr>
            <w:tcW w:w="1843" w:type="dxa"/>
            <w:vAlign w:val="center"/>
          </w:tcPr>
          <w:p>
            <w:pPr>
              <w:ind w:firstLine="0" w:firstLineChars="0"/>
              <w:jc w:val="center"/>
              <w:rPr>
                <w:rFonts w:ascii="仿宋" w:hAnsi="仿宋" w:cs="仿宋"/>
                <w:szCs w:val="24"/>
              </w:rPr>
            </w:pPr>
            <w:r>
              <w:rPr>
                <w:rFonts w:hint="eastAsia" w:ascii="仿宋" w:hAnsi="仿宋" w:cs="仿宋"/>
                <w:szCs w:val="24"/>
                <w:lang w:val="en-GB"/>
              </w:rPr>
              <w:t>检查响应文件的密封情况</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成交服务费收取标准</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成交供应商须在成交公告发出后5个工作日内向采购代理机构缴纳成交服务费，成交服务费以成交价格为计费基础，收费标准参照“计价格[2002]1980号”规定的80%收取。</w:t>
            </w:r>
          </w:p>
          <w:p>
            <w:pPr>
              <w:ind w:firstLine="0" w:firstLineChars="0"/>
              <w:jc w:val="both"/>
              <w:rPr>
                <w:rFonts w:ascii="仿宋" w:hAnsi="仿宋" w:cs="仿宋"/>
                <w:szCs w:val="24"/>
              </w:rPr>
            </w:pPr>
            <w:r>
              <w:rPr>
                <w:rFonts w:hint="eastAsia" w:ascii="仿宋" w:hAnsi="仿宋" w:cs="仿宋"/>
                <w:szCs w:val="24"/>
              </w:rPr>
              <w:t>开户名称：山东华仁永旺招标有限公司</w:t>
            </w:r>
          </w:p>
          <w:p>
            <w:pPr>
              <w:ind w:firstLine="0" w:firstLineChars="0"/>
              <w:jc w:val="both"/>
              <w:rPr>
                <w:rFonts w:ascii="仿宋" w:hAnsi="仿宋" w:cs="仿宋"/>
                <w:szCs w:val="24"/>
              </w:rPr>
            </w:pPr>
            <w:r>
              <w:rPr>
                <w:rFonts w:hint="eastAsia" w:ascii="仿宋" w:hAnsi="仿宋" w:cs="仿宋"/>
                <w:szCs w:val="24"/>
              </w:rPr>
              <w:t>开户银行：中国工商银行济南高新支行</w:t>
            </w:r>
          </w:p>
          <w:p>
            <w:pPr>
              <w:ind w:firstLine="0" w:firstLineChars="0"/>
              <w:jc w:val="both"/>
              <w:rPr>
                <w:rFonts w:ascii="仿宋" w:hAnsi="仿宋" w:cs="仿宋"/>
                <w:szCs w:val="24"/>
              </w:rPr>
            </w:pPr>
            <w:r>
              <w:rPr>
                <w:rFonts w:hint="eastAsia" w:ascii="仿宋" w:hAnsi="仿宋" w:cs="仿宋"/>
                <w:szCs w:val="24"/>
              </w:rPr>
              <w:t>账    号：1602023609200296250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32</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见证律师费的收费标准</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33</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技术部分评审依据内容</w:t>
            </w:r>
          </w:p>
          <w:p>
            <w:pPr>
              <w:ind w:firstLine="0" w:firstLineChars="0"/>
              <w:jc w:val="center"/>
              <w:rPr>
                <w:rFonts w:ascii="仿宋" w:hAnsi="仿宋" w:cs="仿宋"/>
                <w:szCs w:val="24"/>
                <w:lang w:val="en-GB"/>
              </w:rPr>
            </w:pPr>
            <w:r>
              <w:rPr>
                <w:rFonts w:hint="eastAsia" w:ascii="仿宋" w:hAnsi="仿宋" w:cs="仿宋"/>
                <w:szCs w:val="24"/>
                <w:lang w:val="en-GB"/>
              </w:rPr>
              <w:t>（综合对比）</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1、制造商公开发布的印刷资料或彩页等；</w:t>
            </w:r>
          </w:p>
          <w:p>
            <w:pPr>
              <w:ind w:firstLine="0" w:firstLineChars="0"/>
              <w:jc w:val="both"/>
              <w:rPr>
                <w:rFonts w:ascii="仿宋" w:hAnsi="仿宋" w:cs="仿宋"/>
                <w:szCs w:val="24"/>
              </w:rPr>
            </w:pPr>
            <w:r>
              <w:rPr>
                <w:rFonts w:hint="eastAsia" w:ascii="仿宋" w:hAnsi="仿宋" w:cs="仿宋"/>
                <w:szCs w:val="24"/>
              </w:rPr>
              <w:t>2、技术响应表；</w:t>
            </w:r>
          </w:p>
          <w:p>
            <w:pPr>
              <w:ind w:firstLine="0" w:firstLineChars="0"/>
              <w:jc w:val="both"/>
              <w:rPr>
                <w:rFonts w:ascii="仿宋" w:hAnsi="仿宋" w:cs="仿宋"/>
                <w:szCs w:val="24"/>
              </w:rPr>
            </w:pPr>
            <w:r>
              <w:rPr>
                <w:rFonts w:hint="eastAsia" w:ascii="仿宋" w:hAnsi="仿宋" w:cs="仿宋"/>
                <w:szCs w:val="24"/>
              </w:rPr>
              <w:t>3、检测机构出具的检测报告；</w:t>
            </w:r>
          </w:p>
          <w:p>
            <w:pPr>
              <w:ind w:firstLine="0" w:firstLineChars="0"/>
              <w:jc w:val="both"/>
              <w:rPr>
                <w:rFonts w:ascii="仿宋" w:hAnsi="仿宋" w:cs="仿宋"/>
                <w:szCs w:val="24"/>
              </w:rPr>
            </w:pPr>
            <w:r>
              <w:rPr>
                <w:rFonts w:hint="eastAsia" w:ascii="仿宋" w:hAnsi="仿宋" w:cs="仿宋"/>
                <w:szCs w:val="24"/>
              </w:rPr>
              <w:t>4、详细技术描述、建设方案等；</w:t>
            </w:r>
          </w:p>
          <w:p>
            <w:pPr>
              <w:ind w:firstLine="0" w:firstLineChars="0"/>
              <w:jc w:val="both"/>
              <w:rPr>
                <w:rFonts w:ascii="仿宋" w:hAnsi="仿宋" w:cs="仿宋"/>
                <w:szCs w:val="24"/>
              </w:rPr>
            </w:pPr>
            <w:r>
              <w:rPr>
                <w:rFonts w:hint="eastAsia" w:ascii="仿宋" w:hAnsi="仿宋" w:cs="仿宋"/>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szCs w:val="24"/>
              </w:rPr>
            </w:pPr>
            <w:r>
              <w:rPr>
                <w:rFonts w:hint="eastAsia" w:ascii="仿宋" w:hAnsi="仿宋" w:cs="仿宋"/>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35</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同一品牌产品相关问题</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ind w:firstLine="0" w:firstLineChars="0"/>
              <w:jc w:val="both"/>
              <w:rPr>
                <w:rFonts w:ascii="仿宋" w:hAnsi="仿宋" w:cs="仿宋"/>
                <w:szCs w:val="24"/>
              </w:rPr>
            </w:pPr>
            <w:r>
              <w:rPr>
                <w:rFonts w:hint="eastAsia" w:ascii="仿宋" w:hAnsi="仿宋" w:cs="仿宋"/>
                <w:szCs w:val="24"/>
              </w:rPr>
              <w:t>2、非单一产品采购项目中核心产品的确定原则：</w:t>
            </w:r>
          </w:p>
          <w:p>
            <w:pPr>
              <w:ind w:firstLine="0" w:firstLineChars="0"/>
              <w:jc w:val="both"/>
              <w:rPr>
                <w:rFonts w:ascii="仿宋" w:hAnsi="仿宋" w:cs="仿宋"/>
                <w:szCs w:val="24"/>
              </w:rPr>
            </w:pPr>
            <w:r>
              <w:rPr>
                <w:rFonts w:hint="eastAsia" w:ascii="仿宋" w:hAnsi="仿宋" w:cs="仿宋"/>
                <w:szCs w:val="24"/>
              </w:rPr>
              <w:t>1）第八部分技术要求及说明中规定核心产品的，以核心产品参照上述第1款的规定。</w:t>
            </w:r>
          </w:p>
          <w:p>
            <w:pPr>
              <w:ind w:firstLine="0" w:firstLineChars="0"/>
              <w:jc w:val="both"/>
              <w:rPr>
                <w:rFonts w:ascii="仿宋" w:hAnsi="仿宋" w:cs="仿宋"/>
                <w:szCs w:val="24"/>
              </w:rPr>
            </w:pPr>
            <w:r>
              <w:rPr>
                <w:rFonts w:hint="eastAsia" w:ascii="仿宋" w:hAnsi="仿宋" w:cs="仿宋"/>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36</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其他</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1、成交供应商所有响应文件的所有权（包括知识产权）归采购人所有。</w:t>
            </w:r>
          </w:p>
          <w:p>
            <w:pPr>
              <w:ind w:firstLine="0" w:firstLineChars="0"/>
              <w:jc w:val="both"/>
              <w:rPr>
                <w:rFonts w:ascii="仿宋" w:hAnsi="仿宋" w:cs="仿宋"/>
                <w:szCs w:val="24"/>
              </w:rPr>
            </w:pPr>
            <w:r>
              <w:rPr>
                <w:rFonts w:hint="eastAsia" w:ascii="仿宋" w:hAnsi="仿宋" w:cs="仿宋"/>
                <w:szCs w:val="24"/>
              </w:rPr>
              <w:t>2、采购人提供的相关资料只供本次招标活动使用，各供应商应承担保密义务，不得擅自拷贝和传播。</w:t>
            </w:r>
          </w:p>
          <w:p>
            <w:pPr>
              <w:ind w:firstLine="0" w:firstLineChars="0"/>
              <w:jc w:val="both"/>
              <w:rPr>
                <w:rFonts w:ascii="仿宋" w:hAnsi="仿宋" w:cs="仿宋"/>
                <w:szCs w:val="24"/>
              </w:rPr>
            </w:pPr>
            <w:r>
              <w:rPr>
                <w:rFonts w:hint="eastAsia" w:ascii="仿宋" w:hAnsi="仿宋" w:cs="仿宋"/>
                <w:szCs w:val="24"/>
              </w:rPr>
              <w:t>3、各供应商的调研费、差旅费及所获补偿金、奖金的税费自理。</w:t>
            </w:r>
          </w:p>
          <w:p>
            <w:pPr>
              <w:ind w:firstLine="0" w:firstLineChars="0"/>
              <w:jc w:val="both"/>
              <w:rPr>
                <w:rFonts w:ascii="仿宋" w:hAnsi="仿宋" w:cs="仿宋"/>
                <w:szCs w:val="24"/>
              </w:rPr>
            </w:pPr>
            <w:r>
              <w:rPr>
                <w:rFonts w:hint="eastAsia" w:ascii="仿宋" w:hAnsi="仿宋" w:cs="仿宋"/>
                <w:szCs w:val="24"/>
              </w:rPr>
              <w:t>4、所有提交成果一律不退回。</w:t>
            </w:r>
          </w:p>
          <w:p>
            <w:pPr>
              <w:ind w:firstLine="0" w:firstLineChars="0"/>
              <w:jc w:val="both"/>
              <w:rPr>
                <w:rFonts w:ascii="仿宋" w:hAnsi="仿宋" w:cs="仿宋"/>
                <w:szCs w:val="24"/>
              </w:rPr>
            </w:pPr>
            <w:r>
              <w:rPr>
                <w:rFonts w:hint="eastAsia" w:ascii="仿宋" w:hAnsi="仿宋" w:cs="仿宋"/>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37</w:t>
            </w:r>
          </w:p>
        </w:tc>
        <w:tc>
          <w:tcPr>
            <w:tcW w:w="1843" w:type="dxa"/>
            <w:vAlign w:val="center"/>
          </w:tcPr>
          <w:p>
            <w:pPr>
              <w:ind w:firstLine="0" w:firstLineChars="0"/>
              <w:jc w:val="center"/>
              <w:rPr>
                <w:rFonts w:ascii="仿宋" w:hAnsi="仿宋" w:cs="仿宋"/>
                <w:lang w:val="en-GB"/>
              </w:rPr>
            </w:pPr>
            <w:r>
              <w:rPr>
                <w:rFonts w:hint="eastAsia" w:ascii="仿宋" w:hAnsi="仿宋" w:cs="仿宋"/>
                <w:lang w:val="en-GB"/>
              </w:rPr>
              <w:t>投标注意事项</w:t>
            </w:r>
          </w:p>
        </w:tc>
        <w:tc>
          <w:tcPr>
            <w:tcW w:w="7114" w:type="dxa"/>
            <w:vAlign w:val="center"/>
          </w:tcPr>
          <w:p>
            <w:pPr>
              <w:widowControl/>
              <w:ind w:firstLine="0" w:firstLineChars="0"/>
              <w:rPr>
                <w:rFonts w:ascii="仿宋" w:hAnsi="仿宋" w:cs="仿宋"/>
                <w:szCs w:val="21"/>
              </w:rPr>
            </w:pPr>
            <w:r>
              <w:rPr>
                <w:rFonts w:hint="eastAsia" w:ascii="仿宋" w:hAnsi="仿宋" w:cs="仿宋"/>
                <w:szCs w:val="21"/>
              </w:rPr>
              <w:t>1、供应商须于报名截止前在中国山东政府采购网（http://www.ccgp-shandong.gov.cn/sdgp2017/site/index.jsp）注册并报名成功。</w:t>
            </w:r>
          </w:p>
          <w:p>
            <w:pPr>
              <w:widowControl/>
              <w:ind w:firstLine="0" w:firstLineChars="0"/>
              <w:rPr>
                <w:rFonts w:ascii="仿宋" w:hAnsi="仿宋" w:cs="仿宋"/>
                <w:szCs w:val="21"/>
              </w:rPr>
            </w:pPr>
            <w:r>
              <w:rPr>
                <w:rFonts w:hint="eastAsia" w:ascii="仿宋" w:hAnsi="仿宋" w:cs="仿宋"/>
                <w:szCs w:val="21"/>
              </w:rPr>
              <w:t>2、根据财库[2016]125号的相关规定，本次招投标活动将对相关主体信用记录进行查询，对列入失信被执行人、重大税收违法案件当事人名单、政府采购严重违法失信行为记录名单及其他不符合《中华人民共和国政府采购法》第二十二条规定条件的供应商，拒绝其参与政府采购活动。供应商信用记录信息以信用信息查询记录和证据为准【信用查询渠道：“信用中国”网站（www.creditchina.gov.cn）、“信用中国（山东）”网站（credit.shandong.gov.cn）、 “中国政府采购网”网站（www.ccgp.gov.cn）】</w:t>
            </w:r>
          </w:p>
          <w:p>
            <w:pPr>
              <w:widowControl/>
              <w:ind w:firstLine="199" w:firstLineChars="83"/>
              <w:rPr>
                <w:rFonts w:ascii="仿宋" w:hAnsi="仿宋" w:cs="仿宋"/>
                <w:szCs w:val="21"/>
              </w:rPr>
            </w:pPr>
            <w:r>
              <w:rPr>
                <w:rFonts w:hint="eastAsia" w:ascii="仿宋" w:hAnsi="仿宋" w:cs="仿宋"/>
                <w:szCs w:val="21"/>
              </w:rPr>
              <w:t>注：</w:t>
            </w:r>
          </w:p>
          <w:p>
            <w:pPr>
              <w:widowControl/>
              <w:ind w:firstLine="0" w:firstLineChars="0"/>
              <w:rPr>
                <w:rFonts w:ascii="仿宋" w:hAnsi="仿宋" w:cs="仿宋"/>
                <w:szCs w:val="21"/>
              </w:rPr>
            </w:pPr>
            <w:r>
              <w:rPr>
                <w:rFonts w:hint="eastAsia" w:ascii="仿宋" w:hAnsi="仿宋" w:cs="仿宋"/>
                <w:szCs w:val="21"/>
              </w:rPr>
              <w:t>（1）自磋商公告发布之日起至响应文件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仿宋" w:hAnsi="仿宋" w:cs="仿宋"/>
                <w:szCs w:val="21"/>
              </w:rPr>
            </w:pPr>
            <w:r>
              <w:rPr>
                <w:rFonts w:hint="eastAsia" w:ascii="仿宋" w:hAnsi="仿宋" w:cs="仿宋"/>
                <w:szCs w:val="21"/>
              </w:rPr>
              <w:t>（2）注册地非山东省的供应商，须提供注册地省份相关网站查询记录。</w:t>
            </w:r>
          </w:p>
          <w:p>
            <w:pPr>
              <w:widowControl/>
              <w:ind w:firstLine="0" w:firstLineChars="0"/>
              <w:rPr>
                <w:rFonts w:ascii="仿宋" w:hAnsi="仿宋" w:cs="仿宋"/>
                <w:szCs w:val="21"/>
              </w:rPr>
            </w:pPr>
            <w:r>
              <w:rPr>
                <w:rFonts w:hint="eastAsia" w:ascii="仿宋" w:hAnsi="仿宋" w:cs="仿宋"/>
                <w:szCs w:val="21"/>
              </w:rPr>
              <w:t>3、参与报价活动的供应商应当遵循公平竞争和诚实信用的原则，任何违反公平竞争和诚实信用的行为都将导致报价无效，且依据《中华人民共和国政府采购法》第七十七条进行处罚。</w:t>
            </w:r>
          </w:p>
          <w:p>
            <w:pPr>
              <w:widowControl/>
              <w:ind w:firstLine="0" w:firstLineChars="0"/>
              <w:rPr>
                <w:rFonts w:ascii="仿宋" w:hAnsi="仿宋" w:cs="仿宋"/>
                <w:szCs w:val="21"/>
              </w:rPr>
            </w:pPr>
            <w:r>
              <w:rPr>
                <w:rFonts w:hint="eastAsia" w:ascii="仿宋" w:hAnsi="仿宋" w:cs="仿宋"/>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仿宋" w:hAnsi="仿宋" w:cs="仿宋"/>
                <w:szCs w:val="21"/>
              </w:rPr>
            </w:pPr>
            <w:r>
              <w:rPr>
                <w:rFonts w:hint="eastAsia" w:ascii="仿宋" w:hAnsi="仿宋" w:cs="仿宋"/>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仿宋" w:hAnsi="仿宋" w:cs="仿宋"/>
                <w:szCs w:val="21"/>
              </w:rPr>
            </w:pPr>
            <w:r>
              <w:rPr>
                <w:rFonts w:hint="eastAsia" w:ascii="仿宋" w:hAnsi="仿宋" w:cs="仿宋"/>
                <w:b/>
                <w:szCs w:val="21"/>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spacing w:line="360" w:lineRule="auto"/>
              <w:rPr>
                <w:rFonts w:ascii="仿宋" w:hAnsi="仿宋" w:eastAsia="仿宋" w:cs="仿宋"/>
                <w:sz w:val="24"/>
                <w:szCs w:val="21"/>
              </w:rPr>
            </w:pPr>
            <w:r>
              <w:rPr>
                <w:rFonts w:hint="eastAsia" w:ascii="仿宋" w:hAnsi="仿宋" w:eastAsia="仿宋" w:cs="仿宋"/>
                <w:sz w:val="24"/>
                <w:szCs w:val="21"/>
              </w:rPr>
              <w:t>6、本项目实行资格后审，报名成功不代表开标结束后通过资格审查。</w:t>
            </w:r>
          </w:p>
        </w:tc>
      </w:tr>
    </w:tbl>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r>
        <w:rPr>
          <w:rFonts w:hint="eastAsia" w:ascii="仿宋" w:hAnsi="仿宋" w:cs="仿宋"/>
        </w:rPr>
        <w:t>说明：本表内容与磋商文件其他部分内容不一致的，应当以本表内容为准。</w:t>
      </w: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pStyle w:val="30"/>
        <w:spacing w:line="360" w:lineRule="auto"/>
        <w:ind w:firstLine="0" w:firstLineChars="0"/>
        <w:rPr>
          <w:rFonts w:ascii="仿宋" w:hAnsi="仿宋" w:cs="仿宋"/>
        </w:rPr>
      </w:pPr>
    </w:p>
    <w:p>
      <w:pPr>
        <w:ind w:firstLine="643"/>
        <w:rPr>
          <w:rFonts w:ascii="仿宋" w:hAnsi="仿宋" w:cs="仿宋"/>
          <w:b/>
          <w:sz w:val="32"/>
          <w:szCs w:val="32"/>
        </w:rPr>
      </w:pPr>
      <w:bookmarkStart w:id="2" w:name="_Toc81467279"/>
      <w:r>
        <w:rPr>
          <w:rFonts w:hint="eastAsia" w:ascii="仿宋" w:hAnsi="仿宋" w:cs="仿宋"/>
          <w:b/>
          <w:sz w:val="32"/>
          <w:szCs w:val="32"/>
        </w:rPr>
        <w:br w:type="page"/>
      </w:r>
    </w:p>
    <w:p>
      <w:pPr>
        <w:widowControl/>
        <w:ind w:firstLine="0" w:firstLineChars="0"/>
        <w:jc w:val="center"/>
        <w:rPr>
          <w:rFonts w:ascii="仿宋" w:hAnsi="仿宋" w:cs="仿宋"/>
          <w:b/>
          <w:sz w:val="32"/>
          <w:szCs w:val="32"/>
        </w:rPr>
      </w:pPr>
      <w:r>
        <w:rPr>
          <w:rFonts w:hint="eastAsia" w:ascii="仿宋" w:hAnsi="仿宋" w:cs="仿宋"/>
          <w:b/>
          <w:sz w:val="32"/>
          <w:szCs w:val="32"/>
        </w:rPr>
        <w:t>第七部分  评审方法和评分细则</w:t>
      </w:r>
      <w:bookmarkEnd w:id="2"/>
    </w:p>
    <w:p>
      <w:pPr>
        <w:ind w:firstLine="562"/>
        <w:outlineLvl w:val="1"/>
        <w:rPr>
          <w:rFonts w:ascii="仿宋" w:hAnsi="仿宋" w:cs="仿宋"/>
          <w:b/>
          <w:sz w:val="28"/>
          <w:szCs w:val="28"/>
        </w:rPr>
      </w:pPr>
      <w:bookmarkStart w:id="3" w:name="_Toc81467280"/>
      <w:r>
        <w:rPr>
          <w:rFonts w:hint="eastAsia" w:ascii="仿宋" w:hAnsi="仿宋" w:cs="仿宋"/>
          <w:b/>
          <w:sz w:val="28"/>
          <w:szCs w:val="28"/>
        </w:rPr>
        <w:t>一、评审方法</w:t>
      </w:r>
      <w:bookmarkEnd w:id="3"/>
    </w:p>
    <w:p>
      <w:pPr>
        <w:pStyle w:val="30"/>
        <w:spacing w:line="360" w:lineRule="auto"/>
        <w:ind w:firstLine="480"/>
        <w:rPr>
          <w:rFonts w:ascii="仿宋" w:hAnsi="仿宋" w:cs="仿宋"/>
        </w:rPr>
      </w:pPr>
      <w:r>
        <w:rPr>
          <w:rFonts w:hint="eastAsia" w:ascii="仿宋" w:hAnsi="仿宋" w:cs="仿宋"/>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仿宋" w:hAnsi="仿宋" w:cs="仿宋"/>
          <w:b/>
          <w:sz w:val="28"/>
          <w:szCs w:val="28"/>
        </w:rPr>
      </w:pPr>
      <w:bookmarkStart w:id="4" w:name="_Toc81467281"/>
      <w:r>
        <w:rPr>
          <w:rFonts w:hint="eastAsia" w:ascii="仿宋" w:hAnsi="仿宋" w:cs="仿宋"/>
          <w:b/>
          <w:sz w:val="28"/>
          <w:szCs w:val="28"/>
        </w:rPr>
        <w:t>二、评分细则</w:t>
      </w:r>
      <w:bookmarkEnd w:id="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bookmarkStart w:id="5" w:name="_Toc81467282"/>
            <w:r>
              <w:rPr>
                <w:rFonts w:hint="eastAsia" w:ascii="仿宋" w:hAnsi="仿宋" w:cs="仿宋"/>
                <w:bCs/>
              </w:rPr>
              <w:t>投标报价</w:t>
            </w:r>
          </w:p>
          <w:p>
            <w:pPr>
              <w:pStyle w:val="12"/>
              <w:spacing w:after="0" w:line="480" w:lineRule="exact"/>
              <w:ind w:firstLine="480"/>
              <w:rPr>
                <w:rFonts w:ascii="仿宋" w:hAnsi="仿宋" w:cs="仿宋"/>
                <w:bCs/>
              </w:rPr>
            </w:pPr>
            <w:r>
              <w:rPr>
                <w:rFonts w:hint="eastAsia" w:ascii="仿宋" w:hAnsi="仿宋" w:cs="仿宋"/>
                <w:bCs/>
              </w:rPr>
              <w:t>30分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以满足招标文件要求且最终报价最低的投标报价为评标基准价，其价格分为满分30分，其他投标人的价格分按照下列公式计算：投标报价得分=（评标基准价/投标报价）×30%×100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对采购文件技术规格要求的响应程度</w:t>
            </w:r>
          </w:p>
          <w:p>
            <w:pPr>
              <w:pStyle w:val="12"/>
              <w:spacing w:after="0" w:line="480" w:lineRule="exact"/>
              <w:ind w:firstLine="0" w:firstLineChars="0"/>
              <w:jc w:val="center"/>
              <w:rPr>
                <w:rFonts w:ascii="仿宋" w:hAnsi="仿宋" w:cs="仿宋"/>
                <w:bCs/>
              </w:rPr>
            </w:pPr>
            <w:r>
              <w:rPr>
                <w:rFonts w:hint="eastAsia" w:ascii="仿宋" w:hAnsi="仿宋" w:cs="仿宋"/>
                <w:bCs/>
              </w:rPr>
              <w:t>24分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参数全部满足，得24分；每存在一项负偏离减2分，投标文件负偏离达到11条及以上的，评标委员会可视为其投标文件不满足招标文件技术要求，本项得0分。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供货组织方案</w:t>
            </w:r>
          </w:p>
          <w:p>
            <w:pPr>
              <w:pStyle w:val="12"/>
              <w:spacing w:after="0" w:line="480" w:lineRule="exact"/>
              <w:ind w:firstLine="0" w:firstLineChars="0"/>
              <w:jc w:val="center"/>
              <w:rPr>
                <w:rFonts w:ascii="仿宋" w:hAnsi="仿宋" w:cs="仿宋"/>
                <w:bCs/>
              </w:rPr>
            </w:pPr>
            <w:r>
              <w:rPr>
                <w:rFonts w:hint="eastAsia" w:ascii="仿宋" w:hAnsi="仿宋" w:cs="仿宋"/>
                <w:bCs/>
              </w:rPr>
              <w:t>16分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（1）项目分批供货，供货方案完善、描述清晰、切实可行，每项2 分，方案每有一处欠缺，减1分，满分6分。</w:t>
            </w:r>
          </w:p>
          <w:p>
            <w:pPr>
              <w:pStyle w:val="12"/>
              <w:spacing w:after="0" w:line="480" w:lineRule="exact"/>
              <w:ind w:firstLine="0" w:firstLineChars="0"/>
              <w:rPr>
                <w:rFonts w:ascii="仿宋" w:hAnsi="仿宋" w:cs="仿宋"/>
                <w:bCs/>
              </w:rPr>
            </w:pPr>
            <w:r>
              <w:rPr>
                <w:rFonts w:hint="eastAsia" w:ascii="仿宋" w:hAnsi="仿宋" w:cs="仿宋"/>
                <w:bCs/>
              </w:rPr>
              <w:t>（2）项目人员专业、岗位安排合理，每项1 分，方案每有一处欠缺，减 0.5分，满分2分。</w:t>
            </w:r>
          </w:p>
          <w:p>
            <w:pPr>
              <w:pStyle w:val="12"/>
              <w:spacing w:after="0" w:line="480" w:lineRule="exact"/>
              <w:ind w:firstLine="0" w:firstLineChars="0"/>
              <w:rPr>
                <w:rFonts w:ascii="仿宋" w:hAnsi="仿宋" w:cs="仿宋"/>
                <w:bCs/>
              </w:rPr>
            </w:pPr>
            <w:r>
              <w:rPr>
                <w:rFonts w:hint="eastAsia" w:ascii="仿宋" w:hAnsi="仿宋" w:cs="仿宋"/>
                <w:bCs/>
              </w:rPr>
              <w:t>（3）项目进度实施计划、健全、详细周到、具有针对性，每项1 分，方案每有一处欠缺，减 0.5分，满分4分。</w:t>
            </w:r>
          </w:p>
          <w:p>
            <w:pPr>
              <w:pStyle w:val="12"/>
              <w:spacing w:after="0" w:line="480" w:lineRule="exact"/>
              <w:ind w:firstLine="0" w:firstLineChars="0"/>
              <w:rPr>
                <w:rFonts w:ascii="仿宋" w:hAnsi="仿宋" w:cs="仿宋"/>
                <w:bCs/>
              </w:rPr>
            </w:pPr>
            <w:r>
              <w:rPr>
                <w:rFonts w:hint="eastAsia" w:ascii="仿宋" w:hAnsi="仿宋" w:cs="仿宋"/>
                <w:bCs/>
              </w:rPr>
              <w:t>（4）安全保证措施完整、健全、详细周到、具有针对性，每项1 分，方案每有一处欠缺，减 0.5分，满分4分。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both"/>
              <w:rPr>
                <w:rFonts w:ascii="仿宋" w:hAnsi="仿宋" w:cs="仿宋"/>
                <w:bCs/>
              </w:rPr>
            </w:pPr>
            <w:r>
              <w:rPr>
                <w:rFonts w:hint="eastAsia" w:ascii="仿宋" w:hAnsi="仿宋" w:cs="仿宋"/>
                <w:bCs/>
              </w:rPr>
              <w:t>存储、运输及应急方案12分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供应商或制造商有详细、符合项目实际的需求的运输、存储方案及应急方案的等综合评分。</w:t>
            </w:r>
          </w:p>
          <w:p>
            <w:pPr>
              <w:pStyle w:val="12"/>
              <w:spacing w:after="0" w:line="480" w:lineRule="exact"/>
              <w:ind w:firstLine="0" w:firstLineChars="0"/>
              <w:rPr>
                <w:rFonts w:ascii="仿宋" w:hAnsi="仿宋" w:cs="仿宋"/>
                <w:bCs/>
              </w:rPr>
            </w:pPr>
            <w:r>
              <w:rPr>
                <w:rFonts w:hint="eastAsia" w:ascii="仿宋" w:hAnsi="仿宋" w:cs="仿宋"/>
                <w:bCs/>
              </w:rPr>
              <w:t>运输、储存方案及应急方案完全满足项目需求，切实可行，具有针对性的得12分，如运输、储存方案及应急方案没有针对性、不切实际等，每存在一项扣1分，对于偏差内容较大之处，每存在一项扣4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服务支持</w:t>
            </w:r>
          </w:p>
          <w:p>
            <w:pPr>
              <w:pStyle w:val="12"/>
              <w:spacing w:after="0" w:line="480" w:lineRule="exact"/>
              <w:ind w:firstLine="0" w:firstLineChars="0"/>
              <w:jc w:val="center"/>
              <w:rPr>
                <w:rFonts w:ascii="仿宋" w:hAnsi="仿宋" w:cs="仿宋"/>
                <w:bCs/>
              </w:rPr>
            </w:pPr>
            <w:r>
              <w:rPr>
                <w:rFonts w:hint="eastAsia" w:ascii="仿宋" w:hAnsi="仿宋" w:cs="仿宋"/>
                <w:bCs/>
              </w:rPr>
              <w:t>15分</w:t>
            </w:r>
          </w:p>
        </w:tc>
        <w:tc>
          <w:tcPr>
            <w:tcW w:w="7186" w:type="dxa"/>
          </w:tcPr>
          <w:p>
            <w:pPr>
              <w:tabs>
                <w:tab w:val="left" w:pos="7215"/>
              </w:tabs>
              <w:ind w:firstLine="0" w:firstLineChars="0"/>
              <w:rPr>
                <w:rFonts w:ascii="仿宋" w:hAnsi="仿宋" w:cs="仿宋"/>
                <w:bCs/>
              </w:rPr>
            </w:pPr>
            <w:r>
              <w:rPr>
                <w:rFonts w:hint="eastAsia" w:ascii="仿宋" w:hAnsi="仿宋" w:cs="仿宋"/>
                <w:szCs w:val="24"/>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业绩</w:t>
            </w:r>
          </w:p>
          <w:p>
            <w:pPr>
              <w:pStyle w:val="12"/>
              <w:spacing w:after="0" w:line="480" w:lineRule="exact"/>
              <w:ind w:firstLine="0" w:firstLineChars="0"/>
              <w:jc w:val="center"/>
              <w:rPr>
                <w:rFonts w:ascii="仿宋" w:hAnsi="仿宋" w:cs="仿宋"/>
                <w:bCs/>
              </w:rPr>
            </w:pPr>
            <w:r>
              <w:rPr>
                <w:rFonts w:hint="eastAsia" w:ascii="仿宋" w:hAnsi="仿宋" w:cs="仿宋"/>
                <w:bCs/>
              </w:rPr>
              <w:t>3分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根据供应商所投产品近三年（2020年5月至投标截止日止，以合同签订时间为准）完成同类项目的业绩，每提供1项业绩得1分，最高得3分。</w:t>
            </w:r>
          </w:p>
          <w:p>
            <w:pPr>
              <w:pStyle w:val="12"/>
              <w:spacing w:after="0" w:line="480" w:lineRule="exact"/>
              <w:ind w:firstLine="0" w:firstLineChars="0"/>
              <w:rPr>
                <w:rFonts w:ascii="仿宋" w:hAnsi="仿宋" w:cs="仿宋"/>
                <w:bCs/>
              </w:rPr>
            </w:pPr>
            <w:r>
              <w:rPr>
                <w:rFonts w:hint="eastAsia" w:ascii="仿宋" w:hAnsi="仿宋" w:cs="仿宋"/>
                <w:bCs/>
              </w:rPr>
              <w:t>注：1.供应商需提供中标合同复印件，否则业绩不予认可。</w:t>
            </w:r>
          </w:p>
          <w:p>
            <w:pPr>
              <w:pStyle w:val="12"/>
              <w:spacing w:after="0" w:line="480" w:lineRule="exact"/>
              <w:ind w:firstLine="0" w:firstLineChars="0"/>
              <w:rPr>
                <w:rFonts w:ascii="仿宋" w:hAnsi="仿宋" w:cs="仿宋"/>
                <w:bCs/>
              </w:rPr>
            </w:pPr>
            <w:r>
              <w:rPr>
                <w:rFonts w:hint="eastAsia" w:ascii="仿宋" w:hAnsi="仿宋" w:cs="仿宋"/>
                <w:bCs/>
              </w:rPr>
              <w:t>2.需为投标产品销售至最终使用单位的业绩合同。</w:t>
            </w:r>
          </w:p>
        </w:tc>
      </w:tr>
    </w:tbl>
    <w:p>
      <w:pPr>
        <w:ind w:firstLine="562"/>
        <w:outlineLvl w:val="1"/>
        <w:rPr>
          <w:rFonts w:ascii="仿宋" w:hAnsi="仿宋" w:cs="仿宋"/>
          <w:b/>
          <w:sz w:val="28"/>
          <w:szCs w:val="28"/>
        </w:rPr>
      </w:pPr>
      <w:r>
        <w:rPr>
          <w:rFonts w:hint="eastAsia" w:ascii="仿宋" w:hAnsi="仿宋" w:cs="仿宋"/>
          <w:b/>
          <w:sz w:val="28"/>
          <w:szCs w:val="28"/>
        </w:rPr>
        <w:t>三、初步审查属于无效报价的条款</w:t>
      </w:r>
      <w:bookmarkEnd w:id="5"/>
    </w:p>
    <w:p>
      <w:pPr>
        <w:pStyle w:val="30"/>
        <w:spacing w:line="360" w:lineRule="auto"/>
        <w:ind w:firstLine="480"/>
        <w:rPr>
          <w:rFonts w:ascii="仿宋" w:hAnsi="仿宋" w:cs="仿宋"/>
        </w:rPr>
      </w:pPr>
      <w:r>
        <w:rPr>
          <w:rFonts w:hint="eastAsia" w:ascii="仿宋" w:hAnsi="仿宋" w:cs="仿宋"/>
        </w:rPr>
        <w:t>★响应文件有以下情况之一的，在资格性和符合性审查时按无效报价处理，不得进入详细评审阶段：</w:t>
      </w:r>
    </w:p>
    <w:p>
      <w:pPr>
        <w:pStyle w:val="30"/>
        <w:spacing w:line="360" w:lineRule="auto"/>
        <w:ind w:firstLine="480"/>
        <w:rPr>
          <w:rFonts w:ascii="仿宋" w:hAnsi="仿宋" w:cs="仿宋"/>
        </w:rPr>
      </w:pPr>
      <w:r>
        <w:rPr>
          <w:rFonts w:hint="eastAsia" w:ascii="仿宋" w:hAnsi="仿宋" w:cs="仿宋"/>
        </w:rPr>
        <w:t>1、不具备磋商文件中规定的资格要求的；</w:t>
      </w:r>
    </w:p>
    <w:p>
      <w:pPr>
        <w:pStyle w:val="30"/>
        <w:spacing w:line="360" w:lineRule="auto"/>
        <w:ind w:firstLine="480"/>
        <w:rPr>
          <w:rFonts w:ascii="仿宋" w:hAnsi="仿宋" w:cs="仿宋"/>
        </w:rPr>
      </w:pPr>
      <w:r>
        <w:rPr>
          <w:rFonts w:hint="eastAsia" w:ascii="仿宋" w:hAnsi="仿宋" w:cs="仿宋"/>
        </w:rPr>
        <w:t>2、未从采购代理机构报名并取得磋商文件的；</w:t>
      </w:r>
    </w:p>
    <w:p>
      <w:pPr>
        <w:pStyle w:val="30"/>
        <w:spacing w:line="360" w:lineRule="auto"/>
        <w:ind w:firstLine="480"/>
        <w:rPr>
          <w:rFonts w:ascii="仿宋" w:hAnsi="仿宋" w:cs="仿宋"/>
        </w:rPr>
      </w:pPr>
      <w:r>
        <w:rPr>
          <w:rFonts w:hint="eastAsia" w:ascii="仿宋" w:hAnsi="仿宋" w:cs="仿宋"/>
        </w:rPr>
        <w:t>3、响应文件未按磋商文件规定要求编制、签署、盖章的；</w:t>
      </w:r>
    </w:p>
    <w:p>
      <w:pPr>
        <w:pStyle w:val="30"/>
        <w:spacing w:line="360" w:lineRule="auto"/>
        <w:ind w:firstLine="480"/>
        <w:rPr>
          <w:rFonts w:ascii="仿宋" w:hAnsi="仿宋" w:cs="仿宋"/>
        </w:rPr>
      </w:pPr>
      <w:r>
        <w:rPr>
          <w:rFonts w:hint="eastAsia" w:ascii="仿宋" w:hAnsi="仿宋" w:cs="仿宋"/>
        </w:rPr>
        <w:t>4、报价有效期不满足磋商文件要求的；</w:t>
      </w:r>
    </w:p>
    <w:p>
      <w:pPr>
        <w:pStyle w:val="30"/>
        <w:spacing w:line="360" w:lineRule="auto"/>
        <w:ind w:firstLine="480"/>
        <w:rPr>
          <w:rFonts w:ascii="仿宋" w:hAnsi="仿宋" w:cs="仿宋"/>
        </w:rPr>
      </w:pPr>
      <w:r>
        <w:rPr>
          <w:rFonts w:hint="eastAsia" w:ascii="仿宋" w:hAnsi="仿宋" w:cs="仿宋"/>
        </w:rPr>
        <w:t>5、响应文件含有采购人不能接受的附加条件的；</w:t>
      </w:r>
    </w:p>
    <w:p>
      <w:pPr>
        <w:pStyle w:val="30"/>
        <w:spacing w:line="360" w:lineRule="auto"/>
        <w:ind w:firstLine="480"/>
        <w:rPr>
          <w:rFonts w:ascii="仿宋" w:hAnsi="仿宋" w:cs="仿宋"/>
        </w:rPr>
      </w:pPr>
      <w:r>
        <w:rPr>
          <w:rFonts w:hint="eastAsia" w:ascii="仿宋" w:hAnsi="仿宋" w:cs="仿宋"/>
        </w:rPr>
        <w:t>6、未按磋商文件要求报价的；</w:t>
      </w:r>
    </w:p>
    <w:p>
      <w:pPr>
        <w:pStyle w:val="30"/>
        <w:spacing w:line="360" w:lineRule="auto"/>
        <w:ind w:firstLine="480"/>
        <w:rPr>
          <w:rFonts w:ascii="仿宋" w:hAnsi="仿宋" w:cs="仿宋"/>
        </w:rPr>
      </w:pPr>
      <w:r>
        <w:rPr>
          <w:rFonts w:hint="eastAsia" w:ascii="仿宋" w:hAnsi="仿宋" w:cs="仿宋"/>
        </w:rPr>
        <w:t>7、报价（含首次递交的响应文件报价）超过磋商文件中规定的预算金额或者最高限价的；</w:t>
      </w:r>
    </w:p>
    <w:p>
      <w:pPr>
        <w:pStyle w:val="30"/>
        <w:spacing w:line="360" w:lineRule="auto"/>
        <w:ind w:firstLine="480"/>
        <w:rPr>
          <w:rFonts w:ascii="仿宋" w:hAnsi="仿宋" w:cs="仿宋"/>
        </w:rPr>
      </w:pPr>
      <w:r>
        <w:rPr>
          <w:rFonts w:hint="eastAsia" w:ascii="仿宋" w:hAnsi="仿宋" w:cs="仿宋"/>
        </w:rPr>
        <w:t>8、未经许可，以进口产品参与报价的；</w:t>
      </w:r>
    </w:p>
    <w:p>
      <w:pPr>
        <w:pStyle w:val="30"/>
        <w:spacing w:line="360" w:lineRule="auto"/>
        <w:ind w:firstLine="480"/>
        <w:rPr>
          <w:rFonts w:ascii="仿宋" w:hAnsi="仿宋" w:cs="仿宋"/>
        </w:rPr>
      </w:pPr>
      <w:r>
        <w:rPr>
          <w:rFonts w:hint="eastAsia" w:ascii="仿宋" w:hAnsi="仿宋" w:cs="仿宋"/>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仿宋" w:hAnsi="仿宋" w:cs="仿宋"/>
        </w:rPr>
      </w:pPr>
      <w:r>
        <w:rPr>
          <w:rFonts w:hint="eastAsia" w:ascii="仿宋" w:hAnsi="仿宋" w:cs="仿宋"/>
        </w:rPr>
        <w:t>10、有重大偏离且采购人不能接受的；</w:t>
      </w:r>
    </w:p>
    <w:p>
      <w:pPr>
        <w:pStyle w:val="30"/>
        <w:spacing w:line="360" w:lineRule="auto"/>
        <w:ind w:firstLine="480"/>
        <w:rPr>
          <w:rFonts w:ascii="仿宋" w:hAnsi="仿宋" w:cs="仿宋"/>
        </w:rPr>
      </w:pPr>
      <w:r>
        <w:rPr>
          <w:rFonts w:hint="eastAsia" w:ascii="仿宋" w:hAnsi="仿宋" w:cs="仿宋"/>
        </w:rPr>
        <w:t>11、不提供磋商文件要求的任何形式技术资料的；</w:t>
      </w:r>
    </w:p>
    <w:p>
      <w:pPr>
        <w:pStyle w:val="30"/>
        <w:spacing w:line="360" w:lineRule="auto"/>
        <w:ind w:firstLine="480"/>
        <w:rPr>
          <w:rFonts w:ascii="仿宋" w:hAnsi="仿宋" w:cs="仿宋"/>
        </w:rPr>
      </w:pPr>
      <w:r>
        <w:rPr>
          <w:rFonts w:hint="eastAsia" w:ascii="仿宋" w:hAnsi="仿宋" w:cs="仿宋"/>
        </w:rPr>
        <w:t>12、同一供应商提交两个以上不同的响应文件或者报价，但磋商文件要求提交备选方案的除外；</w:t>
      </w:r>
    </w:p>
    <w:p>
      <w:pPr>
        <w:pStyle w:val="30"/>
        <w:spacing w:line="360" w:lineRule="auto"/>
        <w:ind w:firstLine="480"/>
        <w:rPr>
          <w:rFonts w:ascii="仿宋" w:hAnsi="仿宋" w:cs="仿宋"/>
        </w:rPr>
      </w:pPr>
      <w:r>
        <w:rPr>
          <w:rFonts w:hint="eastAsia" w:ascii="仿宋" w:hAnsi="仿宋" w:cs="仿宋"/>
        </w:rPr>
        <w:t>13、以他人名义报价或者在响应文件中提供虚假材料的；</w:t>
      </w:r>
    </w:p>
    <w:p>
      <w:pPr>
        <w:pStyle w:val="30"/>
        <w:spacing w:line="360" w:lineRule="auto"/>
        <w:ind w:firstLine="480"/>
        <w:rPr>
          <w:rFonts w:ascii="仿宋" w:hAnsi="仿宋" w:cs="仿宋"/>
          <w:b/>
          <w:sz w:val="32"/>
          <w:szCs w:val="32"/>
        </w:rPr>
      </w:pPr>
      <w:r>
        <w:rPr>
          <w:rFonts w:hint="eastAsia" w:ascii="仿宋" w:hAnsi="仿宋" w:cs="仿宋"/>
        </w:rPr>
        <w:t>14、法律、法规和磋商文件规定的其他无效情形。</w:t>
      </w: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6" w:name="_Toc81467283"/>
      <w:r>
        <w:rPr>
          <w:rFonts w:hint="eastAsia" w:ascii="仿宋" w:hAnsi="仿宋" w:cs="仿宋"/>
          <w:b/>
          <w:sz w:val="32"/>
          <w:szCs w:val="32"/>
        </w:rPr>
        <w:t>第八部分  技术要求及说明</w:t>
      </w:r>
      <w:bookmarkEnd w:id="6"/>
    </w:p>
    <w:p>
      <w:pPr>
        <w:ind w:firstLine="480"/>
        <w:rPr>
          <w:rFonts w:ascii="仿宋" w:hAnsi="仿宋" w:cs="仿宋"/>
          <w:szCs w:val="24"/>
        </w:rPr>
      </w:pPr>
      <w:r>
        <w:rPr>
          <w:rFonts w:hint="eastAsia" w:ascii="仿宋" w:hAnsi="仿宋" w:cs="仿宋"/>
          <w:szCs w:val="24"/>
        </w:rPr>
        <w:t>A包  预算：24.34万元</w:t>
      </w:r>
    </w:p>
    <w:tbl>
      <w:tblPr>
        <w:tblStyle w:val="21"/>
        <w:tblW w:w="4994" w:type="pct"/>
        <w:tblInd w:w="0" w:type="dxa"/>
        <w:tblLayout w:type="fixed"/>
        <w:tblCellMar>
          <w:top w:w="0" w:type="dxa"/>
          <w:left w:w="108" w:type="dxa"/>
          <w:bottom w:w="0" w:type="dxa"/>
          <w:right w:w="108" w:type="dxa"/>
        </w:tblCellMar>
      </w:tblPr>
      <w:tblGrid>
        <w:gridCol w:w="878"/>
        <w:gridCol w:w="3081"/>
        <w:gridCol w:w="4762"/>
        <w:gridCol w:w="1122"/>
      </w:tblGrid>
      <w:tr>
        <w:tblPrEx>
          <w:tblCellMar>
            <w:top w:w="0" w:type="dxa"/>
            <w:left w:w="108" w:type="dxa"/>
            <w:bottom w:w="0" w:type="dxa"/>
            <w:right w:w="108" w:type="dxa"/>
          </w:tblCellMar>
        </w:tblPrEx>
        <w:trPr>
          <w:trHeight w:val="48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b/>
                <w:bCs/>
                <w:szCs w:val="24"/>
              </w:rPr>
            </w:pPr>
            <w:r>
              <w:rPr>
                <w:rFonts w:hint="eastAsia" w:ascii="仿宋" w:hAnsi="仿宋" w:cs="仿宋"/>
                <w:b/>
                <w:bCs/>
                <w:kern w:val="0"/>
                <w:szCs w:val="24"/>
              </w:rPr>
              <w:t>序号</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试剂耗材名称</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规格型号（参数）</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数量</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25cm²细胞培养瓶</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w:t>
            </w:r>
            <w:r>
              <w:rPr>
                <w:rFonts w:hint="eastAsia" w:ascii="仿宋" w:hAnsi="仿宋" w:cs="仿宋"/>
                <w:kern w:val="0"/>
                <w:szCs w:val="24"/>
              </w:rPr>
              <w:t>个</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20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箱（Thermo）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100mm</w:t>
            </w:r>
            <w:r>
              <w:rPr>
                <w:rFonts w:hint="eastAsia" w:ascii="仿宋" w:hAnsi="仿宋" w:cs="仿宋"/>
                <w:kern w:val="0"/>
                <w:szCs w:val="24"/>
              </w:rPr>
              <w:t>细胞培养皿</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100mm*20mm</w:t>
            </w:r>
            <w:r>
              <w:rPr>
                <w:rFonts w:hint="eastAsia" w:ascii="仿宋" w:hAnsi="仿宋" w:cs="仿宋"/>
                <w:kern w:val="0"/>
                <w:szCs w:val="24"/>
              </w:rPr>
              <w:t>，</w:t>
            </w:r>
            <w:r>
              <w:rPr>
                <w:rStyle w:val="58"/>
                <w:rFonts w:hint="eastAsia" w:ascii="仿宋" w:hAnsi="仿宋" w:cs="仿宋"/>
                <w:color w:val="auto"/>
                <w:sz w:val="24"/>
                <w:szCs w:val="24"/>
              </w:rPr>
              <w:t>20</w:t>
            </w:r>
            <w:r>
              <w:rPr>
                <w:rFonts w:hint="eastAsia" w:ascii="仿宋" w:hAnsi="仿宋" w:cs="仿宋"/>
                <w:kern w:val="0"/>
                <w:szCs w:val="24"/>
              </w:rPr>
              <w:t>个</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25</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箱（corning）</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315"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6</w:t>
            </w:r>
            <w:r>
              <w:rPr>
                <w:rFonts w:hint="eastAsia" w:ascii="仿宋" w:hAnsi="仿宋" w:cs="仿宋"/>
                <w:kern w:val="0"/>
                <w:szCs w:val="24"/>
              </w:rPr>
              <w:t>孔细胞培养板</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w:t>
            </w:r>
            <w:r>
              <w:rPr>
                <w:rFonts w:hint="eastAsia" w:ascii="仿宋" w:hAnsi="仿宋" w:cs="仿宋"/>
                <w:kern w:val="0"/>
                <w:szCs w:val="24"/>
              </w:rPr>
              <w:t>块</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50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箱（corning）</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w:t>
            </w:r>
            <w:r>
              <w:rPr>
                <w:rStyle w:val="59"/>
                <w:rFonts w:hint="default" w:ascii="仿宋" w:hAnsi="仿宋" w:eastAsia="仿宋" w:cs="仿宋"/>
                <w:color w:val="auto"/>
              </w:rPr>
              <w:t>箱</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96</w:t>
            </w:r>
            <w:r>
              <w:rPr>
                <w:rFonts w:hint="eastAsia" w:ascii="仿宋" w:hAnsi="仿宋" w:cs="仿宋"/>
                <w:kern w:val="0"/>
                <w:szCs w:val="24"/>
              </w:rPr>
              <w:t>孔细胞培养板</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w:t>
            </w:r>
            <w:r>
              <w:rPr>
                <w:rFonts w:hint="eastAsia" w:ascii="仿宋" w:hAnsi="仿宋" w:cs="仿宋"/>
                <w:kern w:val="0"/>
                <w:szCs w:val="24"/>
              </w:rPr>
              <w:t>块</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100</w:t>
            </w:r>
            <w:r>
              <w:rPr>
                <w:rFonts w:hint="eastAsia" w:ascii="仿宋" w:hAnsi="仿宋" w:cs="仿宋"/>
                <w:kern w:val="0"/>
                <w:szCs w:val="24"/>
              </w:rPr>
              <w:t>块</w:t>
            </w:r>
            <w:r>
              <w:rPr>
                <w:rStyle w:val="58"/>
                <w:rFonts w:hint="eastAsia" w:ascii="仿宋" w:hAnsi="仿宋" w:cs="仿宋"/>
                <w:color w:val="auto"/>
                <w:sz w:val="24"/>
                <w:szCs w:val="24"/>
              </w:rPr>
              <w:t>/</w:t>
            </w:r>
            <w:r>
              <w:rPr>
                <w:rFonts w:hint="eastAsia" w:ascii="仿宋" w:hAnsi="仿宋" w:cs="仿宋"/>
                <w:kern w:val="0"/>
                <w:szCs w:val="24"/>
              </w:rPr>
              <w:t>箱（corning）</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57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15ml</w:t>
            </w:r>
            <w:r>
              <w:rPr>
                <w:rFonts w:hint="eastAsia" w:ascii="仿宋" w:hAnsi="仿宋" w:cs="仿宋"/>
                <w:kern w:val="0"/>
                <w:szCs w:val="24"/>
              </w:rPr>
              <w:t>离心管（无菌无酶）</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50</w:t>
            </w:r>
            <w:r>
              <w:rPr>
                <w:rFonts w:hint="eastAsia" w:ascii="仿宋" w:hAnsi="仿宋" w:cs="仿宋"/>
                <w:kern w:val="0"/>
                <w:szCs w:val="24"/>
              </w:rPr>
              <w:t>个</w:t>
            </w:r>
            <w:r>
              <w:rPr>
                <w:rStyle w:val="58"/>
                <w:rFonts w:hint="eastAsia" w:ascii="仿宋" w:hAnsi="仿宋" w:cs="仿宋"/>
                <w:color w:val="auto"/>
                <w:sz w:val="24"/>
                <w:szCs w:val="24"/>
              </w:rPr>
              <w:t xml:space="preserve"> /</w:t>
            </w:r>
            <w:r>
              <w:rPr>
                <w:rFonts w:hint="eastAsia" w:ascii="仿宋" w:hAnsi="仿宋" w:cs="仿宋"/>
                <w:kern w:val="0"/>
                <w:szCs w:val="24"/>
              </w:rPr>
              <w:t>包，</w:t>
            </w:r>
            <w:r>
              <w:rPr>
                <w:rStyle w:val="58"/>
                <w:rFonts w:hint="eastAsia" w:ascii="仿宋" w:hAnsi="仿宋" w:cs="仿宋"/>
                <w:color w:val="auto"/>
                <w:sz w:val="24"/>
                <w:szCs w:val="24"/>
              </w:rPr>
              <w:t>10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箱（corning）</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9箱</w:t>
            </w:r>
          </w:p>
        </w:tc>
      </w:tr>
      <w:tr>
        <w:tblPrEx>
          <w:tblCellMar>
            <w:top w:w="0" w:type="dxa"/>
            <w:left w:w="108" w:type="dxa"/>
            <w:bottom w:w="0" w:type="dxa"/>
            <w:right w:w="108" w:type="dxa"/>
          </w:tblCellMar>
        </w:tblPrEx>
        <w:trPr>
          <w:trHeight w:val="57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50ml</w:t>
            </w:r>
            <w:r>
              <w:rPr>
                <w:rFonts w:hint="eastAsia" w:ascii="仿宋" w:hAnsi="仿宋" w:cs="仿宋"/>
                <w:kern w:val="0"/>
                <w:szCs w:val="24"/>
              </w:rPr>
              <w:t>离心管（无菌无酶）</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25</w:t>
            </w:r>
            <w:r>
              <w:rPr>
                <w:rFonts w:hint="eastAsia" w:ascii="仿宋" w:hAnsi="仿宋" w:cs="仿宋"/>
                <w:kern w:val="0"/>
                <w:szCs w:val="24"/>
              </w:rPr>
              <w:t>个</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20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箱（corning）</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10箱</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7</w:t>
            </w:r>
          </w:p>
        </w:tc>
        <w:tc>
          <w:tcPr>
            <w:tcW w:w="15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1000ul</w:t>
            </w:r>
            <w:r>
              <w:rPr>
                <w:rFonts w:hint="eastAsia" w:ascii="仿宋" w:hAnsi="仿宋" w:cs="仿宋"/>
                <w:kern w:val="0"/>
                <w:szCs w:val="24"/>
              </w:rPr>
              <w:t>蓝色袋装吸头</w:t>
            </w:r>
            <w:r>
              <w:rPr>
                <w:rStyle w:val="58"/>
                <w:rFonts w:hint="eastAsia" w:ascii="仿宋" w:hAnsi="仿宋" w:cs="仿宋"/>
                <w:color w:val="auto"/>
                <w:sz w:val="24"/>
                <w:szCs w:val="24"/>
              </w:rPr>
              <w:t xml:space="preserve"> </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5</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箱（Axygen）</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8</w:t>
            </w:r>
          </w:p>
        </w:tc>
        <w:tc>
          <w:tcPr>
            <w:tcW w:w="15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200ul</w:t>
            </w:r>
            <w:r>
              <w:rPr>
                <w:rFonts w:hint="eastAsia" w:ascii="仿宋" w:hAnsi="仿宋" w:cs="仿宋"/>
                <w:kern w:val="0"/>
                <w:szCs w:val="24"/>
              </w:rPr>
              <w:t>袋装黄吸头</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1000</w:t>
            </w:r>
            <w:r>
              <w:rPr>
                <w:rFonts w:hint="eastAsia" w:ascii="仿宋" w:hAnsi="仿宋" w:cs="仿宋"/>
                <w:kern w:val="0"/>
                <w:szCs w:val="24"/>
              </w:rPr>
              <w:t>个</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20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箱（Axygen）</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9</w:t>
            </w:r>
          </w:p>
        </w:tc>
        <w:tc>
          <w:tcPr>
            <w:tcW w:w="15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10μL</w:t>
            </w:r>
            <w:r>
              <w:rPr>
                <w:rFonts w:hint="eastAsia" w:ascii="仿宋" w:hAnsi="仿宋" w:cs="仿宋"/>
                <w:kern w:val="0"/>
                <w:szCs w:val="24"/>
              </w:rPr>
              <w:t>袋装吸头</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1000</w:t>
            </w:r>
            <w:r>
              <w:rPr>
                <w:rFonts w:hint="eastAsia" w:ascii="仿宋" w:hAnsi="仿宋" w:cs="仿宋"/>
                <w:kern w:val="0"/>
                <w:szCs w:val="24"/>
              </w:rPr>
              <w:t>支</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20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箱（Axygen）</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10</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1.5mL</w:t>
            </w:r>
            <w:r>
              <w:rPr>
                <w:rFonts w:hint="eastAsia" w:ascii="仿宋" w:hAnsi="仿宋" w:cs="仿宋"/>
                <w:kern w:val="0"/>
                <w:szCs w:val="24"/>
              </w:rPr>
              <w:t>离心管</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500</w:t>
            </w:r>
            <w:r>
              <w:rPr>
                <w:rFonts w:hint="eastAsia" w:ascii="仿宋" w:hAnsi="仿宋" w:cs="仿宋"/>
                <w:kern w:val="0"/>
                <w:szCs w:val="24"/>
              </w:rPr>
              <w:t>管</w:t>
            </w:r>
            <w:r>
              <w:rPr>
                <w:rStyle w:val="58"/>
                <w:rFonts w:hint="eastAsia" w:ascii="仿宋" w:hAnsi="仿宋" w:cs="仿宋"/>
                <w:color w:val="auto"/>
                <w:sz w:val="24"/>
                <w:szCs w:val="24"/>
              </w:rPr>
              <w:t>/</w:t>
            </w:r>
            <w:r>
              <w:rPr>
                <w:rFonts w:hint="eastAsia" w:ascii="仿宋" w:hAnsi="仿宋" w:cs="仿宋"/>
                <w:kern w:val="0"/>
                <w:szCs w:val="24"/>
              </w:rPr>
              <w:t>盒，</w:t>
            </w:r>
            <w:r>
              <w:rPr>
                <w:rStyle w:val="58"/>
                <w:rFonts w:hint="eastAsia" w:ascii="仿宋" w:hAnsi="仿宋" w:cs="仿宋"/>
                <w:color w:val="auto"/>
                <w:sz w:val="24"/>
                <w:szCs w:val="24"/>
              </w:rPr>
              <w:t>10</w:t>
            </w:r>
            <w:r>
              <w:rPr>
                <w:rFonts w:hint="eastAsia" w:ascii="仿宋" w:hAnsi="仿宋" w:cs="仿宋"/>
                <w:kern w:val="0"/>
                <w:szCs w:val="24"/>
              </w:rPr>
              <w:t>盒</w:t>
            </w:r>
            <w:r>
              <w:rPr>
                <w:rStyle w:val="58"/>
                <w:rFonts w:hint="eastAsia" w:ascii="仿宋" w:hAnsi="仿宋" w:cs="仿宋"/>
                <w:color w:val="auto"/>
                <w:sz w:val="24"/>
                <w:szCs w:val="24"/>
              </w:rPr>
              <w:t>/</w:t>
            </w:r>
            <w:r>
              <w:rPr>
                <w:rFonts w:hint="eastAsia" w:ascii="仿宋" w:hAnsi="仿宋" w:cs="仿宋"/>
                <w:kern w:val="0"/>
                <w:szCs w:val="24"/>
              </w:rPr>
              <w:t>箱（Axygen）</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11</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1000μL</w:t>
            </w:r>
            <w:r>
              <w:rPr>
                <w:rFonts w:hint="eastAsia" w:ascii="仿宋" w:hAnsi="仿宋" w:cs="仿宋"/>
                <w:kern w:val="0"/>
                <w:szCs w:val="24"/>
              </w:rPr>
              <w:t>加长型蓝吸头</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1000μL</w:t>
            </w:r>
            <w:r>
              <w:rPr>
                <w:rFonts w:hint="eastAsia" w:ascii="仿宋" w:hAnsi="仿宋" w:cs="仿宋"/>
                <w:kern w:val="0"/>
                <w:szCs w:val="24"/>
              </w:rPr>
              <w:t>加长型，</w:t>
            </w:r>
            <w:r>
              <w:rPr>
                <w:rStyle w:val="58"/>
                <w:rFonts w:hint="eastAsia" w:ascii="仿宋" w:hAnsi="仿宋" w:cs="仿宋"/>
                <w:color w:val="auto"/>
                <w:sz w:val="24"/>
                <w:szCs w:val="24"/>
              </w:rPr>
              <w:t>1000</w:t>
            </w:r>
            <w:r>
              <w:rPr>
                <w:rFonts w:hint="eastAsia" w:ascii="仿宋" w:hAnsi="仿宋" w:cs="仿宋"/>
                <w:kern w:val="0"/>
                <w:szCs w:val="24"/>
              </w:rPr>
              <w:t>支</w:t>
            </w:r>
            <w:r>
              <w:rPr>
                <w:rStyle w:val="58"/>
                <w:rFonts w:hint="eastAsia" w:ascii="仿宋" w:hAnsi="仿宋" w:cs="仿宋"/>
                <w:color w:val="auto"/>
                <w:sz w:val="24"/>
                <w:szCs w:val="24"/>
              </w:rPr>
              <w:t>/</w:t>
            </w:r>
            <w:r>
              <w:rPr>
                <w:rFonts w:hint="eastAsia" w:ascii="仿宋" w:hAnsi="仿宋" w:cs="仿宋"/>
                <w:kern w:val="0"/>
                <w:szCs w:val="24"/>
              </w:rPr>
              <w:t>包，</w:t>
            </w:r>
            <w:r>
              <w:rPr>
                <w:rStyle w:val="58"/>
                <w:rFonts w:hint="eastAsia" w:ascii="仿宋" w:hAnsi="仿宋" w:cs="仿宋"/>
                <w:color w:val="auto"/>
                <w:sz w:val="24"/>
                <w:szCs w:val="24"/>
              </w:rPr>
              <w:t>10</w:t>
            </w:r>
            <w:r>
              <w:rPr>
                <w:rFonts w:hint="eastAsia" w:ascii="仿宋" w:hAnsi="仿宋" w:cs="仿宋"/>
                <w:kern w:val="0"/>
                <w:szCs w:val="24"/>
              </w:rPr>
              <w:t>包</w:t>
            </w:r>
            <w:r>
              <w:rPr>
                <w:rStyle w:val="58"/>
                <w:rFonts w:hint="eastAsia" w:ascii="仿宋" w:hAnsi="仿宋" w:cs="仿宋"/>
                <w:color w:val="auto"/>
                <w:sz w:val="24"/>
                <w:szCs w:val="24"/>
              </w:rPr>
              <w:t>/</w:t>
            </w:r>
            <w:r>
              <w:rPr>
                <w:rFonts w:hint="eastAsia" w:ascii="仿宋" w:hAnsi="仿宋" w:cs="仿宋"/>
                <w:kern w:val="0"/>
                <w:szCs w:val="24"/>
              </w:rPr>
              <w:t>箱（KIRGEN）</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5</w:t>
            </w:r>
            <w:r>
              <w:rPr>
                <w:rFonts w:hint="eastAsia" w:ascii="仿宋" w:hAnsi="仿宋" w:cs="仿宋"/>
                <w:kern w:val="0"/>
                <w:szCs w:val="24"/>
              </w:rPr>
              <w:t>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12</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无粉乳胶手套</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S</w:t>
            </w:r>
            <w:r>
              <w:rPr>
                <w:rFonts w:hint="eastAsia" w:ascii="仿宋" w:hAnsi="仿宋" w:cs="仿宋"/>
                <w:kern w:val="0"/>
                <w:szCs w:val="24"/>
              </w:rPr>
              <w:t>码，</w:t>
            </w:r>
            <w:r>
              <w:rPr>
                <w:rStyle w:val="58"/>
                <w:rFonts w:hint="eastAsia" w:ascii="仿宋" w:hAnsi="仿宋" w:cs="仿宋"/>
                <w:color w:val="auto"/>
                <w:sz w:val="24"/>
                <w:szCs w:val="24"/>
              </w:rPr>
              <w:t>100</w:t>
            </w:r>
            <w:r>
              <w:rPr>
                <w:rFonts w:hint="eastAsia" w:ascii="仿宋" w:hAnsi="仿宋" w:cs="仿宋"/>
                <w:kern w:val="0"/>
                <w:szCs w:val="24"/>
              </w:rPr>
              <w:t>只</w:t>
            </w:r>
            <w:r>
              <w:rPr>
                <w:rStyle w:val="58"/>
                <w:rFonts w:hint="eastAsia" w:ascii="仿宋" w:hAnsi="仿宋" w:cs="仿宋"/>
                <w:color w:val="auto"/>
                <w:sz w:val="24"/>
                <w:szCs w:val="24"/>
              </w:rPr>
              <w:t>/</w:t>
            </w:r>
            <w:r>
              <w:rPr>
                <w:rFonts w:hint="eastAsia" w:ascii="仿宋" w:hAnsi="仿宋" w:cs="仿宋"/>
                <w:kern w:val="0"/>
                <w:szCs w:val="24"/>
              </w:rPr>
              <w:t>盒，</w:t>
            </w:r>
            <w:r>
              <w:rPr>
                <w:rStyle w:val="58"/>
                <w:rFonts w:hint="eastAsia" w:ascii="仿宋" w:hAnsi="仿宋" w:cs="仿宋"/>
                <w:color w:val="auto"/>
                <w:sz w:val="24"/>
                <w:szCs w:val="24"/>
              </w:rPr>
              <w:t>10</w:t>
            </w:r>
            <w:r>
              <w:rPr>
                <w:rFonts w:hint="eastAsia" w:ascii="仿宋" w:hAnsi="仿宋" w:cs="仿宋"/>
                <w:kern w:val="0"/>
                <w:szCs w:val="24"/>
              </w:rPr>
              <w:t>盒</w:t>
            </w:r>
            <w:r>
              <w:rPr>
                <w:rStyle w:val="58"/>
                <w:rFonts w:hint="eastAsia" w:ascii="仿宋" w:hAnsi="仿宋" w:cs="仿宋"/>
                <w:color w:val="auto"/>
                <w:sz w:val="24"/>
                <w:szCs w:val="24"/>
              </w:rPr>
              <w:t>/</w:t>
            </w:r>
            <w:r>
              <w:rPr>
                <w:rFonts w:hint="eastAsia" w:ascii="仿宋" w:hAnsi="仿宋" w:cs="仿宋"/>
                <w:kern w:val="0"/>
                <w:szCs w:val="24"/>
              </w:rPr>
              <w:t>箱（LATEX ）</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13</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无粉乳胶手套</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58"/>
                <w:rFonts w:hint="eastAsia" w:ascii="仿宋" w:hAnsi="仿宋" w:cs="仿宋"/>
                <w:color w:val="auto"/>
                <w:sz w:val="24"/>
                <w:szCs w:val="24"/>
              </w:rPr>
              <w:t>M</w:t>
            </w:r>
            <w:r>
              <w:rPr>
                <w:rFonts w:hint="eastAsia" w:ascii="仿宋" w:hAnsi="仿宋" w:cs="仿宋"/>
                <w:kern w:val="0"/>
                <w:szCs w:val="24"/>
              </w:rPr>
              <w:t>码，</w:t>
            </w:r>
            <w:r>
              <w:rPr>
                <w:rStyle w:val="58"/>
                <w:rFonts w:hint="eastAsia" w:ascii="仿宋" w:hAnsi="仿宋" w:cs="仿宋"/>
                <w:color w:val="auto"/>
                <w:sz w:val="24"/>
                <w:szCs w:val="24"/>
              </w:rPr>
              <w:t>100</w:t>
            </w:r>
            <w:r>
              <w:rPr>
                <w:rFonts w:hint="eastAsia" w:ascii="仿宋" w:hAnsi="仿宋" w:cs="仿宋"/>
                <w:kern w:val="0"/>
                <w:szCs w:val="24"/>
              </w:rPr>
              <w:t>只</w:t>
            </w:r>
            <w:r>
              <w:rPr>
                <w:rStyle w:val="58"/>
                <w:rFonts w:hint="eastAsia" w:ascii="仿宋" w:hAnsi="仿宋" w:cs="仿宋"/>
                <w:color w:val="auto"/>
                <w:sz w:val="24"/>
                <w:szCs w:val="24"/>
              </w:rPr>
              <w:t>/</w:t>
            </w:r>
            <w:r>
              <w:rPr>
                <w:rFonts w:hint="eastAsia" w:ascii="仿宋" w:hAnsi="仿宋" w:cs="仿宋"/>
                <w:kern w:val="0"/>
                <w:szCs w:val="24"/>
              </w:rPr>
              <w:t>盒，</w:t>
            </w:r>
            <w:r>
              <w:rPr>
                <w:rStyle w:val="58"/>
                <w:rFonts w:hint="eastAsia" w:ascii="仿宋" w:hAnsi="仿宋" w:cs="仿宋"/>
                <w:color w:val="auto"/>
                <w:sz w:val="24"/>
                <w:szCs w:val="24"/>
              </w:rPr>
              <w:t>10</w:t>
            </w:r>
            <w:r>
              <w:rPr>
                <w:rFonts w:hint="eastAsia" w:ascii="仿宋" w:hAnsi="仿宋" w:cs="仿宋"/>
                <w:kern w:val="0"/>
                <w:szCs w:val="24"/>
              </w:rPr>
              <w:t>盒</w:t>
            </w:r>
            <w:r>
              <w:rPr>
                <w:rStyle w:val="58"/>
                <w:rFonts w:hint="eastAsia" w:ascii="仿宋" w:hAnsi="仿宋" w:cs="仿宋"/>
                <w:color w:val="auto"/>
                <w:sz w:val="24"/>
                <w:szCs w:val="24"/>
              </w:rPr>
              <w:t>/</w:t>
            </w:r>
            <w:r>
              <w:rPr>
                <w:rFonts w:hint="eastAsia" w:ascii="仿宋" w:hAnsi="仿宋" w:cs="仿宋"/>
                <w:kern w:val="0"/>
                <w:szCs w:val="24"/>
              </w:rPr>
              <w:t>箱（LATEX ）</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10箱</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14</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DMEM</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 mL（ATCC）</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100瓶</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15</w:t>
            </w:r>
          </w:p>
        </w:tc>
        <w:tc>
          <w:tcPr>
            <w:tcW w:w="15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Fonts w:hint="eastAsia" w:ascii="仿宋" w:hAnsi="仿宋" w:cs="仿宋"/>
                <w:kern w:val="0"/>
                <w:szCs w:val="24"/>
              </w:rPr>
              <w:t>PAGE凝胶快速制备试剂盒（7.5%）</w:t>
            </w:r>
          </w:p>
        </w:tc>
        <w:tc>
          <w:tcPr>
            <w:tcW w:w="2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Fonts w:hint="eastAsia" w:ascii="仿宋" w:hAnsi="仿宋" w:cs="仿宋"/>
                <w:kern w:val="0"/>
                <w:szCs w:val="24"/>
              </w:rPr>
              <w:t>125gels（Epizyme）</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10盒</w:t>
            </w:r>
          </w:p>
        </w:tc>
      </w:tr>
      <w:tr>
        <w:tblPrEx>
          <w:tblCellMar>
            <w:top w:w="0" w:type="dxa"/>
            <w:left w:w="108" w:type="dxa"/>
            <w:bottom w:w="0" w:type="dxa"/>
            <w:right w:w="108" w:type="dxa"/>
          </w:tblCellMar>
        </w:tblPrEx>
        <w:trPr>
          <w:trHeight w:val="57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16</w:t>
            </w:r>
          </w:p>
        </w:tc>
        <w:tc>
          <w:tcPr>
            <w:tcW w:w="15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firstLine="0" w:firstLineChars="0"/>
              <w:textAlignment w:val="center"/>
              <w:rPr>
                <w:rFonts w:ascii="仿宋" w:hAnsi="仿宋" w:cs="仿宋"/>
                <w:szCs w:val="24"/>
              </w:rPr>
            </w:pPr>
            <w:r>
              <w:rPr>
                <w:rFonts w:hint="eastAsia" w:ascii="仿宋" w:hAnsi="仿宋" w:cs="仿宋"/>
                <w:kern w:val="0"/>
                <w:szCs w:val="24"/>
              </w:rPr>
              <w:t>Fetal Bovine Serum 胎牛血清</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 mL（KMBR）</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4瓶</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17</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胎牛血清</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500ml (10099141C，gibco)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2瓶</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18</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细胞培养瓶</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T25 TC透气盖(707003，NEST)</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3箱</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19</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 xml:space="preserve">HiFiScript cDNA Synthesis Kit </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 rxns(CW2569，CWBIO)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3盒</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20</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Style w:val="60"/>
                <w:rFonts w:hint="eastAsia" w:ascii="仿宋" w:hAnsi="仿宋" w:cs="仿宋"/>
                <w:color w:val="auto"/>
                <w:sz w:val="24"/>
                <w:szCs w:val="24"/>
              </w:rPr>
              <w:t>2xTaq MasterMix</w:t>
            </w:r>
            <w:r>
              <w:rPr>
                <w:rStyle w:val="61"/>
                <w:rFonts w:hint="default" w:ascii="仿宋" w:hAnsi="仿宋" w:eastAsia="仿宋" w:cs="仿宋"/>
                <w:color w:val="auto"/>
                <w:sz w:val="24"/>
                <w:szCs w:val="24"/>
              </w:rPr>
              <w:t>（</w:t>
            </w:r>
            <w:r>
              <w:rPr>
                <w:rStyle w:val="60"/>
                <w:rFonts w:hint="eastAsia" w:ascii="仿宋" w:hAnsi="仿宋" w:cs="仿宋"/>
                <w:color w:val="auto"/>
                <w:sz w:val="24"/>
                <w:szCs w:val="24"/>
              </w:rPr>
              <w:t>Dye</w:t>
            </w:r>
            <w:r>
              <w:rPr>
                <w:rStyle w:val="61"/>
                <w:rFonts w:hint="default" w:ascii="仿宋" w:hAnsi="仿宋" w:eastAsia="仿宋" w:cs="仿宋"/>
                <w:color w:val="auto"/>
                <w:sz w:val="24"/>
                <w:szCs w:val="24"/>
              </w:rPr>
              <w:t>）</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25ml（CW0682L，CWBIO）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3支</w:t>
            </w:r>
          </w:p>
        </w:tc>
      </w:tr>
      <w:tr>
        <w:tblPrEx>
          <w:tblCellMar>
            <w:top w:w="0" w:type="dxa"/>
            <w:left w:w="108" w:type="dxa"/>
            <w:bottom w:w="0" w:type="dxa"/>
            <w:right w:w="108" w:type="dxa"/>
          </w:tblCellMar>
        </w:tblPrEx>
        <w:trPr>
          <w:trHeight w:val="6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21</w:t>
            </w:r>
          </w:p>
        </w:tc>
        <w:tc>
          <w:tcPr>
            <w:tcW w:w="15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Style w:val="60"/>
                <w:rFonts w:hint="eastAsia" w:ascii="仿宋" w:hAnsi="仿宋" w:cs="仿宋"/>
                <w:color w:val="auto"/>
                <w:sz w:val="24"/>
                <w:szCs w:val="24"/>
              </w:rPr>
              <w:t>UltraSYBR Mixture</w:t>
            </w:r>
            <w:r>
              <w:rPr>
                <w:rStyle w:val="61"/>
                <w:rFonts w:hint="default" w:ascii="仿宋" w:hAnsi="仿宋" w:eastAsia="仿宋" w:cs="仿宋"/>
                <w:color w:val="auto"/>
                <w:sz w:val="24"/>
                <w:szCs w:val="24"/>
              </w:rPr>
              <w:t>（</w:t>
            </w:r>
            <w:r>
              <w:rPr>
                <w:rStyle w:val="60"/>
                <w:rFonts w:hint="eastAsia" w:ascii="仿宋" w:hAnsi="仿宋" w:cs="仿宋"/>
                <w:color w:val="auto"/>
                <w:sz w:val="24"/>
                <w:szCs w:val="24"/>
              </w:rPr>
              <w:t>Low ROX</w:t>
            </w:r>
            <w:r>
              <w:rPr>
                <w:rStyle w:val="61"/>
                <w:rFonts w:hint="default" w:ascii="仿宋" w:hAnsi="仿宋" w:eastAsia="仿宋" w:cs="仿宋"/>
                <w:color w:val="auto"/>
                <w:sz w:val="24"/>
                <w:szCs w:val="24"/>
              </w:rPr>
              <w:t>）</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40 ml（CW2601H，CWBIO）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54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22</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Style w:val="62"/>
                <w:rFonts w:hint="eastAsia" w:ascii="仿宋" w:hAnsi="仿宋" w:cs="仿宋"/>
                <w:color w:val="auto"/>
                <w:sz w:val="24"/>
                <w:szCs w:val="24"/>
              </w:rPr>
              <w:t xml:space="preserve">M5 HiPure Gelred </w:t>
            </w:r>
            <w:r>
              <w:rPr>
                <w:rFonts w:hint="eastAsia" w:ascii="仿宋" w:hAnsi="仿宋" w:cs="仿宋"/>
                <w:kern w:val="0"/>
                <w:szCs w:val="24"/>
              </w:rPr>
              <w:t>核酸染料</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5x0.5ml(10000X，Mei5bio)</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23</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ABCG8</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50ul（ab223056，abcam）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IHC-P, ICC/IF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24</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ABCG1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100ul（ab52617，abcam）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Cow,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ICC/IF,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1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25</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p-m-TOR(</w:t>
            </w:r>
            <w:r>
              <w:rPr>
                <w:rStyle w:val="63"/>
                <w:rFonts w:hint="default" w:ascii="仿宋" w:hAnsi="仿宋" w:eastAsia="仿宋" w:cs="仿宋"/>
                <w:color w:val="auto"/>
                <w:sz w:val="24"/>
                <w:szCs w:val="24"/>
              </w:rPr>
              <w:t>磷酸化</w:t>
            </w:r>
            <w:r>
              <w:rPr>
                <w:rFonts w:hint="eastAsia" w:ascii="仿宋" w:hAnsi="仿宋" w:cs="仿宋"/>
                <w:kern w:val="0"/>
                <w:szCs w:val="24"/>
              </w:rPr>
              <w:t>)</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100ul（5536S，Cell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H M R  Mk Suitable for: WB IP IHC  IF F</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IHC CHIP DB eCLIP IF 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26</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SREBP-1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200ul（SC-13551，Santa）</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 hamster</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IF, IHC(P)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1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27</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VCAM</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100ul(ab134047，abcam)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IHC-P, Flow Cyt (Intra), ICC/IF, Indirect ELISA</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8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28</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P-ERK(</w:t>
            </w:r>
            <w:r>
              <w:rPr>
                <w:rStyle w:val="63"/>
                <w:rFonts w:hint="default" w:ascii="仿宋" w:hAnsi="仿宋" w:eastAsia="仿宋" w:cs="仿宋"/>
                <w:color w:val="auto"/>
                <w:sz w:val="24"/>
                <w:szCs w:val="24"/>
              </w:rPr>
              <w:t>磷酸化</w:t>
            </w:r>
            <w:r>
              <w:rPr>
                <w:rFonts w:hint="eastAsia" w:ascii="仿宋" w:hAnsi="仿宋" w:cs="仿宋"/>
                <w:kern w:val="0"/>
                <w:szCs w:val="24"/>
              </w:rPr>
              <w:t>)</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200ul（4376S，Cell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H M R Hm Mk Mi Dm Z Pg Sc</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IHC</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29</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JNK</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100ul（ARG51218，arigobio）</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with:Hu, Ms, Rat</w:t>
            </w:r>
          </w:p>
          <w:p>
            <w:pPr>
              <w:widowControl/>
              <w:ind w:firstLine="0" w:firstLineChars="0"/>
              <w:textAlignment w:val="center"/>
              <w:rPr>
                <w:rFonts w:ascii="仿宋" w:hAnsi="仿宋" w:cs="仿宋"/>
                <w:szCs w:val="24"/>
              </w:rPr>
            </w:pPr>
            <w:r>
              <w:rPr>
                <w:rFonts w:hint="eastAsia" w:ascii="仿宋" w:hAnsi="仿宋" w:cs="仿宋"/>
                <w:kern w:val="0"/>
                <w:szCs w:val="24"/>
              </w:rPr>
              <w:t>Suitable for: IHC-P,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30</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P38 MAPK</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100ul（8690S，Cell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with:H M R Hm Mk B Pg</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 IF, 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9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31</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PI3K</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100ul（4255S，Cell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with:H M R</w:t>
            </w:r>
          </w:p>
          <w:p>
            <w:pPr>
              <w:widowControl/>
              <w:ind w:firstLine="0" w:firstLineChars="0"/>
              <w:textAlignment w:val="center"/>
              <w:rPr>
                <w:rFonts w:ascii="仿宋" w:hAnsi="仿宋" w:cs="仿宋"/>
                <w:szCs w:val="24"/>
              </w:rPr>
            </w:pPr>
            <w:r>
              <w:rPr>
                <w:rFonts w:hint="eastAsia" w:ascii="仿宋" w:hAnsi="仿宋" w:cs="仿宋"/>
                <w:kern w:val="0"/>
                <w:szCs w:val="24"/>
              </w:rPr>
              <w:t>Suitable for:WB, IP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32</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NF-κB P65</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100ul（8242S，Cell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 xml:space="preserve">Reacts with: H M R Hm Mk Dg </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 IF, 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33</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CD36</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100ul（ab64014，abcam）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34</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p-NF-κB p65</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100ul(3033s，Cell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with:H M R Hm Mk Pg</w:t>
            </w:r>
          </w:p>
          <w:p>
            <w:pPr>
              <w:widowControl/>
              <w:ind w:firstLine="0" w:firstLineChars="0"/>
              <w:textAlignment w:val="center"/>
              <w:rPr>
                <w:rFonts w:ascii="仿宋" w:hAnsi="仿宋" w:cs="仿宋"/>
                <w:szCs w:val="24"/>
              </w:rPr>
            </w:pPr>
            <w:r>
              <w:rPr>
                <w:rFonts w:hint="eastAsia" w:ascii="仿宋" w:hAnsi="仿宋" w:cs="仿宋"/>
                <w:kern w:val="0"/>
                <w:szCs w:val="24"/>
              </w:rPr>
              <w:t>Suitable for:WB,IP,IF,F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8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35</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pcsk9</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100ul(SAB2501521-100UG，sigma)</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human, rat</w:t>
            </w:r>
          </w:p>
          <w:p>
            <w:pPr>
              <w:widowControl/>
              <w:ind w:firstLine="0" w:firstLineChars="0"/>
              <w:textAlignment w:val="center"/>
              <w:rPr>
                <w:rFonts w:ascii="仿宋" w:hAnsi="仿宋" w:cs="仿宋"/>
                <w:szCs w:val="24"/>
              </w:rPr>
            </w:pPr>
            <w:r>
              <w:rPr>
                <w:rFonts w:hint="eastAsia" w:ascii="仿宋" w:hAnsi="仿宋" w:cs="仿宋"/>
                <w:kern w:val="0"/>
                <w:szCs w:val="24"/>
              </w:rPr>
              <w:t>Suitable for: ELISA (i),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2支</w:t>
            </w:r>
          </w:p>
        </w:tc>
      </w:tr>
      <w:tr>
        <w:tblPrEx>
          <w:tblCellMar>
            <w:top w:w="0" w:type="dxa"/>
            <w:left w:w="108" w:type="dxa"/>
            <w:bottom w:w="0" w:type="dxa"/>
            <w:right w:w="108" w:type="dxa"/>
          </w:tblCellMar>
        </w:tblPrEx>
        <w:trPr>
          <w:trHeight w:val="21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36</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m-TOR</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100ul(2983S，Cell Signaling Technology)</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H M R  Mk Suitable for: WB IP IHC  IF F</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IHC CHIP DB eCLIP IF 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37</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SR-B1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200ul(ab217318，abcam)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IHC-P, ICC/IF, IP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38</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CYP7A1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200ug/ml(sc-518007，santa cruze)</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Human, rat, mouse</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IF, ELISA</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39</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PPAR-gamma</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100ul(ab272718，abcam)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40</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LXR-alpha</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100ul(ab216691，abcam)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3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41</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油酸-白蛋白</w:t>
            </w:r>
          </w:p>
        </w:tc>
        <w:tc>
          <w:tcPr>
            <w:tcW w:w="24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5ml（03008-5ml，Sigma）</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42</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ATGL</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100ul(ab207799，abcam)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IHC-P, ICC/IF, IP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43</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LPL-1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100ul(ab91606，abcam)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44</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PGC1 alpha</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100ul(ab191838，abcam)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IHC-P, ICC/IF</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45</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ABCG5</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100ul(27722-1-AP，Proteintech)</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Mouse, Rat, Human</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 ELISA</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5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46</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ICAM</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200ul(sc-8439，Santa)</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 R H</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IF, IHC(P), FCM ,ELISA</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47</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MCP-1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200ul(sc-32771，Santa)</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H</w:t>
            </w:r>
          </w:p>
          <w:p>
            <w:pPr>
              <w:widowControl/>
              <w:ind w:firstLine="0" w:firstLineChars="0"/>
              <w:textAlignment w:val="center"/>
              <w:rPr>
                <w:rFonts w:ascii="仿宋" w:hAnsi="仿宋" w:cs="仿宋"/>
                <w:szCs w:val="24"/>
              </w:rPr>
            </w:pPr>
            <w:r>
              <w:rPr>
                <w:rFonts w:hint="eastAsia" w:ascii="仿宋" w:hAnsi="仿宋" w:cs="仿宋"/>
                <w:kern w:val="0"/>
                <w:szCs w:val="24"/>
              </w:rPr>
              <w:t>Suitable for: WB, IP, IF , IHC(P)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48</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MCP-1</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100ul(ab308522，abcam)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w:t>
            </w:r>
          </w:p>
          <w:p>
            <w:pPr>
              <w:widowControl/>
              <w:ind w:firstLine="0" w:firstLineChars="0"/>
              <w:textAlignment w:val="center"/>
              <w:rPr>
                <w:rFonts w:ascii="仿宋" w:hAnsi="仿宋" w:cs="仿宋"/>
                <w:szCs w:val="24"/>
              </w:rPr>
            </w:pPr>
            <w:r>
              <w:rPr>
                <w:rFonts w:hint="eastAsia" w:ascii="仿宋" w:hAnsi="仿宋" w:cs="仿宋"/>
                <w:kern w:val="0"/>
                <w:szCs w:val="24"/>
              </w:rPr>
              <w:t>Suitable for: WB, IHC-P, ICC/IF, IP</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1200" w:hRule="atLeast"/>
        </w:trPr>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49</w:t>
            </w:r>
          </w:p>
        </w:tc>
        <w:tc>
          <w:tcPr>
            <w:tcW w:w="1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p-PI 3 Kinase p85 alpha(</w:t>
            </w:r>
            <w:r>
              <w:rPr>
                <w:rStyle w:val="63"/>
                <w:rFonts w:hint="default" w:ascii="仿宋" w:hAnsi="仿宋" w:eastAsia="仿宋" w:cs="仿宋"/>
                <w:color w:val="auto"/>
                <w:sz w:val="24"/>
                <w:szCs w:val="24"/>
              </w:rPr>
              <w:t>磷酸化</w:t>
            </w:r>
            <w:r>
              <w:rPr>
                <w:rFonts w:hint="eastAsia" w:ascii="仿宋" w:hAnsi="仿宋" w:cs="仿宋"/>
                <w:kern w:val="0"/>
                <w:szCs w:val="24"/>
              </w:rPr>
              <w:t>)</w:t>
            </w:r>
          </w:p>
        </w:tc>
        <w:tc>
          <w:tcPr>
            <w:tcW w:w="2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100ul(ab182651，abcam)</w:t>
            </w:r>
          </w:p>
          <w:p>
            <w:pPr>
              <w:widowControl/>
              <w:ind w:firstLine="0" w:firstLineChars="0"/>
              <w:textAlignment w:val="center"/>
              <w:rPr>
                <w:rFonts w:ascii="仿宋" w:hAnsi="仿宋" w:cs="仿宋"/>
                <w:kern w:val="0"/>
                <w:szCs w:val="24"/>
              </w:rPr>
            </w:pPr>
            <w:r>
              <w:rPr>
                <w:rFonts w:hint="eastAsia" w:ascii="仿宋" w:hAnsi="仿宋" w:cs="仿宋"/>
                <w:kern w:val="0"/>
                <w:szCs w:val="24"/>
              </w:rPr>
              <w:t>Reacts with: M R H</w:t>
            </w:r>
          </w:p>
          <w:p>
            <w:pPr>
              <w:widowControl/>
              <w:ind w:firstLine="0" w:firstLineChars="0"/>
              <w:textAlignment w:val="center"/>
              <w:rPr>
                <w:rFonts w:ascii="仿宋" w:hAnsi="仿宋" w:cs="仿宋"/>
                <w:szCs w:val="24"/>
              </w:rPr>
            </w:pPr>
            <w:r>
              <w:rPr>
                <w:rFonts w:hint="eastAsia" w:ascii="仿宋" w:hAnsi="仿宋" w:cs="仿宋"/>
                <w:kern w:val="0"/>
                <w:szCs w:val="24"/>
              </w:rPr>
              <w:t>Suitable for:IHC-P, WB</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bl>
    <w:p>
      <w:pPr>
        <w:pStyle w:val="2"/>
        <w:ind w:left="480" w:firstLine="480"/>
        <w:rPr>
          <w:rFonts w:ascii="仿宋" w:hAnsi="仿宋" w:cs="仿宋"/>
        </w:rPr>
      </w:pPr>
    </w:p>
    <w:p>
      <w:pPr>
        <w:ind w:firstLine="482"/>
        <w:rPr>
          <w:rFonts w:ascii="仿宋" w:hAnsi="仿宋" w:cs="仿宋"/>
          <w:b/>
          <w:bCs/>
        </w:rPr>
      </w:pPr>
      <w:r>
        <w:rPr>
          <w:rFonts w:hint="eastAsia" w:ascii="仿宋" w:hAnsi="仿宋" w:cs="仿宋"/>
          <w:b/>
          <w:bCs/>
        </w:rPr>
        <w:br w:type="page"/>
      </w:r>
    </w:p>
    <w:p>
      <w:pPr>
        <w:ind w:firstLine="482"/>
        <w:rPr>
          <w:rFonts w:ascii="仿宋" w:hAnsi="仿宋" w:cs="仿宋"/>
          <w:b/>
          <w:bCs/>
        </w:rPr>
      </w:pPr>
      <w:r>
        <w:rPr>
          <w:rFonts w:hint="eastAsia" w:ascii="仿宋" w:hAnsi="仿宋" w:cs="仿宋"/>
          <w:b/>
          <w:bCs/>
        </w:rPr>
        <w:t>B包  预算：27.67万元</w:t>
      </w:r>
    </w:p>
    <w:tbl>
      <w:tblPr>
        <w:tblStyle w:val="21"/>
        <w:tblW w:w="4991" w:type="pct"/>
        <w:tblInd w:w="0" w:type="dxa"/>
        <w:tblLayout w:type="fixed"/>
        <w:tblCellMar>
          <w:top w:w="0" w:type="dxa"/>
          <w:left w:w="108" w:type="dxa"/>
          <w:bottom w:w="0" w:type="dxa"/>
          <w:right w:w="108" w:type="dxa"/>
        </w:tblCellMar>
      </w:tblPr>
      <w:tblGrid>
        <w:gridCol w:w="1167"/>
        <w:gridCol w:w="2398"/>
        <w:gridCol w:w="5564"/>
        <w:gridCol w:w="708"/>
      </w:tblGrid>
      <w:tr>
        <w:tblPrEx>
          <w:tblCellMar>
            <w:top w:w="0" w:type="dxa"/>
            <w:left w:w="108" w:type="dxa"/>
            <w:bottom w:w="0" w:type="dxa"/>
            <w:right w:w="108" w:type="dxa"/>
          </w:tblCellMar>
        </w:tblPrEx>
        <w:trPr>
          <w:trHeight w:val="72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b/>
                <w:bCs/>
                <w:sz w:val="20"/>
              </w:rPr>
            </w:pPr>
            <w:r>
              <w:rPr>
                <w:rFonts w:hint="eastAsia" w:ascii="仿宋" w:hAnsi="仿宋" w:cs="仿宋"/>
                <w:b/>
                <w:bCs/>
                <w:kern w:val="0"/>
                <w:sz w:val="20"/>
              </w:rPr>
              <w:t>序号</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 w:val="20"/>
              </w:rPr>
            </w:pPr>
            <w:r>
              <w:rPr>
                <w:rFonts w:hint="eastAsia" w:ascii="仿宋" w:hAnsi="仿宋" w:cs="仿宋"/>
                <w:b/>
                <w:bCs/>
                <w:kern w:val="0"/>
                <w:sz w:val="20"/>
              </w:rPr>
              <w:t>试剂耗材名称</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 w:val="20"/>
              </w:rPr>
            </w:pPr>
            <w:r>
              <w:rPr>
                <w:rFonts w:hint="eastAsia" w:ascii="仿宋" w:hAnsi="仿宋" w:cs="仿宋"/>
                <w:b/>
                <w:bCs/>
                <w:kern w:val="0"/>
                <w:sz w:val="20"/>
              </w:rPr>
              <w:t>规格型号（参数）</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 w:val="20"/>
              </w:rPr>
            </w:pPr>
            <w:r>
              <w:rPr>
                <w:rFonts w:hint="eastAsia" w:ascii="仿宋" w:hAnsi="仿宋" w:cs="仿宋"/>
                <w:b/>
                <w:bCs/>
                <w:kern w:val="0"/>
                <w:sz w:val="20"/>
              </w:rPr>
              <w:t>数量</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MYD88</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BCL10</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SMAD3</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NF-kB</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30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IL-1β</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6</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BCL2</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7</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BAX</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8</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CASPASE3</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9</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FN1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10</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COL3A1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11</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COL1A1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12</w:t>
            </w:r>
          </w:p>
        </w:tc>
        <w:tc>
          <w:tcPr>
            <w:tcW w:w="1219" w:type="pct"/>
            <w:tcBorders>
              <w:top w:val="nil"/>
              <w:left w:val="single" w:color="000000" w:sz="4" w:space="0"/>
              <w:bottom w:val="nil"/>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IL-6</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13</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TGFβ1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14</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mFN1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15</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OPA1</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16</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重组Anti-NDUFB8抗体</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17</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重组Anti-eNOS抗体</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18</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重组Anti-UQCRC2抗体</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50uL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19</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PVDF膜0.22um</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26cm*3.75m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20</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PVDF膜0.45um</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26cm*3.75m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21</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SDS-PAGE凝胶快速配制试剂盒</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30-50块胶</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22</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RIPA裂解液(强)</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23</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山羊抗兔二抗</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0.1ml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24</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山羊抗小鼠二抗</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0.1ml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25</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Lipofectamine 2000 转染试剂</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1.5ml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26</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100-1000UL加长型吸嘴,蓝色,带刻度,袋装</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1000支/包,10包/箱</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1箱</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27</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0.5-10UL加长型吸嘴,无色,带刻度,袋装</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1000支/包,10包/箱</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1箱</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28</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1-200UL吸嘴,黄色,带刻度,袋装</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1000支/包,10包/箱</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1箱</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29</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蛋白上样缓冲液5X</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15ml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30</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Opti-MEM 减血清培养基</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500ml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31</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Sybr green</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20μl×500次</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32</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快速细胞冻存液（无血清）</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33</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FastKing RT Kit（With gDNase）</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20μl×100次</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34</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BCA蛋白浓度测定试剂盒(增强型)</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500次</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35</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胎牛血清</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500ml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270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36</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FBS Australia Origin</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500ML/瓶，Filtration                                                          0.04 um</w:t>
            </w:r>
            <w:r>
              <w:rPr>
                <w:rFonts w:hint="eastAsia" w:ascii="仿宋" w:hAnsi="仿宋" w:cs="仿宋"/>
                <w:kern w:val="0"/>
                <w:sz w:val="22"/>
                <w:szCs w:val="22"/>
              </w:rPr>
              <w:br w:type="textWrapping"/>
            </w:r>
            <w:r>
              <w:rPr>
                <w:rFonts w:hint="eastAsia" w:ascii="仿宋" w:hAnsi="仿宋" w:cs="仿宋"/>
                <w:kern w:val="0"/>
                <w:sz w:val="22"/>
                <w:szCs w:val="22"/>
              </w:rPr>
              <w:t>Osmolality                                                          280 – 340 mOsm/kg</w:t>
            </w:r>
            <w:r>
              <w:rPr>
                <w:rFonts w:hint="eastAsia" w:ascii="仿宋" w:hAnsi="仿宋" w:cs="仿宋"/>
                <w:kern w:val="0"/>
                <w:sz w:val="22"/>
                <w:szCs w:val="22"/>
              </w:rPr>
              <w:br w:type="textWrapping"/>
            </w:r>
            <w:r>
              <w:rPr>
                <w:rFonts w:hint="eastAsia" w:ascii="仿宋" w:hAnsi="仿宋" w:cs="仿宋"/>
                <w:kern w:val="0"/>
                <w:sz w:val="22"/>
                <w:szCs w:val="22"/>
              </w:rPr>
              <w:t>Endotoxin                                                           ≤10 EU/Ml</w:t>
            </w:r>
            <w:r>
              <w:rPr>
                <w:rFonts w:hint="eastAsia" w:ascii="仿宋" w:hAnsi="仿宋" w:cs="仿宋"/>
                <w:kern w:val="0"/>
                <w:sz w:val="22"/>
                <w:szCs w:val="22"/>
              </w:rPr>
              <w:br w:type="textWrapping"/>
            </w:r>
            <w:r>
              <w:rPr>
                <w:rFonts w:hint="eastAsia" w:ascii="仿宋" w:hAnsi="仿宋" w:cs="仿宋"/>
                <w:kern w:val="0"/>
                <w:sz w:val="22"/>
                <w:szCs w:val="22"/>
              </w:rPr>
              <w:t>Hemoglobin                                                           ≤ 9mg/dl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10瓶</w:t>
            </w:r>
          </w:p>
        </w:tc>
      </w:tr>
      <w:tr>
        <w:tblPrEx>
          <w:tblCellMar>
            <w:top w:w="0" w:type="dxa"/>
            <w:left w:w="108" w:type="dxa"/>
            <w:bottom w:w="0" w:type="dxa"/>
            <w:right w:w="108" w:type="dxa"/>
          </w:tblCellMar>
        </w:tblPrEx>
        <w:trPr>
          <w:trHeight w:val="240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37</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FBS Brazil Origin（ Invigentech）</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0"/>
              </w:rPr>
            </w:pPr>
            <w:r>
              <w:rPr>
                <w:rFonts w:hint="eastAsia" w:ascii="仿宋" w:hAnsi="仿宋" w:cs="仿宋"/>
                <w:kern w:val="0"/>
                <w:sz w:val="20"/>
              </w:rPr>
              <w:t>500ML/瓶， Filtration                                                                           3 x0.1 um</w:t>
            </w:r>
            <w:r>
              <w:rPr>
                <w:rFonts w:hint="eastAsia" w:ascii="仿宋" w:hAnsi="仿宋" w:cs="仿宋"/>
                <w:kern w:val="0"/>
                <w:sz w:val="20"/>
              </w:rPr>
              <w:br w:type="textWrapping"/>
            </w:r>
            <w:r>
              <w:rPr>
                <w:rFonts w:hint="eastAsia" w:ascii="仿宋" w:hAnsi="仿宋" w:cs="仿宋"/>
                <w:kern w:val="0"/>
                <w:sz w:val="20"/>
              </w:rPr>
              <w:t>Osmolality                                                                         280 – 340 mOsm/kg</w:t>
            </w:r>
            <w:r>
              <w:rPr>
                <w:rFonts w:hint="eastAsia" w:ascii="仿宋" w:hAnsi="仿宋" w:cs="仿宋"/>
                <w:kern w:val="0"/>
                <w:sz w:val="20"/>
              </w:rPr>
              <w:br w:type="textWrapping"/>
            </w:r>
            <w:r>
              <w:rPr>
                <w:rFonts w:hint="eastAsia" w:ascii="仿宋" w:hAnsi="仿宋" w:cs="仿宋"/>
                <w:kern w:val="0"/>
                <w:sz w:val="20"/>
              </w:rPr>
              <w:t>Endotoxin                                                                          ≤ 25 EU/Ml</w:t>
            </w:r>
            <w:r>
              <w:rPr>
                <w:rFonts w:hint="eastAsia" w:ascii="仿宋" w:hAnsi="仿宋" w:cs="仿宋"/>
                <w:kern w:val="0"/>
                <w:sz w:val="20"/>
              </w:rPr>
              <w:br w:type="textWrapping"/>
            </w:r>
            <w:r>
              <w:rPr>
                <w:rFonts w:hint="eastAsia" w:ascii="仿宋" w:hAnsi="仿宋" w:cs="仿宋"/>
                <w:kern w:val="0"/>
                <w:sz w:val="20"/>
              </w:rPr>
              <w:t>Hemoglobin                                                                      ≤ 25 mg/dl</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10瓶</w:t>
            </w:r>
          </w:p>
        </w:tc>
      </w:tr>
      <w:tr>
        <w:tblPrEx>
          <w:tblCellMar>
            <w:top w:w="0" w:type="dxa"/>
            <w:left w:w="108" w:type="dxa"/>
            <w:bottom w:w="0" w:type="dxa"/>
            <w:right w:w="108" w:type="dxa"/>
          </w:tblCellMar>
        </w:tblPrEx>
        <w:trPr>
          <w:trHeight w:val="108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38</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INVI DNA  RNA Transfection Reagent</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1.5ML/支，可以在细胞内环境自代谢分解，对细胞无毒性伤害</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4支</w:t>
            </w:r>
          </w:p>
        </w:tc>
      </w:tr>
      <w:tr>
        <w:tblPrEx>
          <w:tblCellMar>
            <w:top w:w="0" w:type="dxa"/>
            <w:left w:w="108" w:type="dxa"/>
            <w:bottom w:w="0" w:type="dxa"/>
            <w:right w:w="108" w:type="dxa"/>
          </w:tblCellMar>
        </w:tblPrEx>
        <w:trPr>
          <w:trHeight w:val="81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39</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Annexin V-FITC/PI 细胞凋亡检测试剂盒</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100次/盒</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4支</w:t>
            </w:r>
          </w:p>
        </w:tc>
      </w:tr>
      <w:tr>
        <w:tblPrEx>
          <w:tblCellMar>
            <w:top w:w="0" w:type="dxa"/>
            <w:left w:w="108" w:type="dxa"/>
            <w:bottom w:w="0" w:type="dxa"/>
            <w:right w:w="108" w:type="dxa"/>
          </w:tblCellMar>
        </w:tblPrEx>
        <w:trPr>
          <w:trHeight w:val="54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40</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WB 超敏型ECL发光液</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500ml/盒</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6盒</w:t>
            </w:r>
          </w:p>
        </w:tc>
      </w:tr>
      <w:tr>
        <w:tblPrEx>
          <w:tblCellMar>
            <w:top w:w="0" w:type="dxa"/>
            <w:left w:w="108" w:type="dxa"/>
            <w:bottom w:w="0" w:type="dxa"/>
            <w:right w:w="108" w:type="dxa"/>
          </w:tblCellMar>
        </w:tblPrEx>
        <w:trPr>
          <w:trHeight w:val="1572" w:hRule="atLeast"/>
        </w:trPr>
        <w:tc>
          <w:tcPr>
            <w:tcW w:w="59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41</w:t>
            </w:r>
          </w:p>
        </w:tc>
        <w:tc>
          <w:tcPr>
            <w:tcW w:w="1219"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一步法TUNEL细胞凋亡检测试剂盒（绿色荧光）</w:t>
            </w:r>
          </w:p>
        </w:tc>
        <w:tc>
          <w:tcPr>
            <w:tcW w:w="2828"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ind w:firstLine="0" w:firstLineChars="0"/>
              <w:textAlignment w:val="center"/>
              <w:rPr>
                <w:rFonts w:hint="eastAsia" w:ascii="仿宋" w:hAnsi="仿宋" w:cs="仿宋"/>
                <w:kern w:val="0"/>
                <w:sz w:val="22"/>
                <w:szCs w:val="22"/>
              </w:rPr>
            </w:pPr>
            <w:r>
              <w:rPr>
                <w:rFonts w:hint="eastAsia" w:ascii="仿宋" w:hAnsi="仿宋" w:cs="仿宋"/>
                <w:kern w:val="0"/>
                <w:sz w:val="22"/>
                <w:szCs w:val="22"/>
              </w:rPr>
              <w:t>100T/盒，•提供优化的阳性对照品。</w:t>
            </w:r>
            <w:r>
              <w:rPr>
                <w:rFonts w:hint="eastAsia" w:ascii="仿宋" w:hAnsi="仿宋" w:cs="仿宋"/>
                <w:kern w:val="0"/>
                <w:sz w:val="22"/>
                <w:szCs w:val="22"/>
              </w:rPr>
              <w:br w:type="textWrapping"/>
            </w:r>
            <w:r>
              <w:rPr>
                <w:rFonts w:hint="eastAsia" w:ascii="仿宋" w:hAnsi="仿宋" w:cs="仿宋"/>
                <w:kern w:val="0"/>
                <w:sz w:val="22"/>
                <w:szCs w:val="22"/>
              </w:rPr>
              <w:t>适用于荧光酶标仪、荧光显微镜、流式细胞仪。</w:t>
            </w:r>
          </w:p>
          <w:p>
            <w:pPr>
              <w:widowControl/>
              <w:ind w:firstLine="0" w:firstLineChars="0"/>
              <w:textAlignment w:val="center"/>
              <w:rPr>
                <w:rFonts w:ascii="仿宋" w:hAnsi="仿宋" w:cs="仿宋"/>
                <w:sz w:val="22"/>
                <w:szCs w:val="22"/>
              </w:rPr>
            </w:pPr>
            <w:r>
              <w:rPr>
                <w:rFonts w:hint="eastAsia" w:ascii="仿宋" w:hAnsi="仿宋" w:cs="仿宋"/>
                <w:kern w:val="0"/>
                <w:sz w:val="22"/>
                <w:szCs w:val="22"/>
              </w:rPr>
              <w:t>基于最广泛使用的FITC通道（Ex/Em = 490nm/520 nm）</w:t>
            </w:r>
          </w:p>
        </w:tc>
        <w:tc>
          <w:tcPr>
            <w:tcW w:w="360"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4盒</w:t>
            </w:r>
          </w:p>
        </w:tc>
      </w:tr>
      <w:tr>
        <w:tblPrEx>
          <w:tblCellMar>
            <w:top w:w="0" w:type="dxa"/>
            <w:left w:w="108" w:type="dxa"/>
            <w:bottom w:w="0" w:type="dxa"/>
            <w:right w:w="108" w:type="dxa"/>
          </w:tblCellMar>
        </w:tblPrEx>
        <w:trPr>
          <w:trHeight w:val="2965" w:hRule="atLeast"/>
        </w:trPr>
        <w:tc>
          <w:tcPr>
            <w:tcW w:w="59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42</w:t>
            </w:r>
          </w:p>
        </w:tc>
        <w:tc>
          <w:tcPr>
            <w:tcW w:w="121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通用型免疫（共）沉淀（IP/Co-IP）工具箱（磁珠）</w:t>
            </w:r>
          </w:p>
        </w:tc>
        <w:tc>
          <w:tcPr>
            <w:tcW w:w="282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textAlignment w:val="center"/>
              <w:rPr>
                <w:rFonts w:hint="eastAsia" w:ascii="仿宋" w:hAnsi="仿宋" w:cs="仿宋"/>
                <w:kern w:val="0"/>
                <w:sz w:val="22"/>
                <w:szCs w:val="22"/>
              </w:rPr>
            </w:pPr>
            <w:r>
              <w:rPr>
                <w:rFonts w:hint="eastAsia" w:ascii="仿宋" w:hAnsi="仿宋" w:cs="仿宋"/>
                <w:kern w:val="0"/>
                <w:sz w:val="22"/>
                <w:szCs w:val="22"/>
              </w:rPr>
              <w:t>20T/盒，• 高效的抗体结合能力和较低的蛋白非特异吸附率，节省抗体用量；</w:t>
            </w:r>
          </w:p>
          <w:p>
            <w:pPr>
              <w:widowControl/>
              <w:ind w:firstLine="0" w:firstLineChars="0"/>
              <w:textAlignment w:val="center"/>
              <w:rPr>
                <w:rFonts w:hint="eastAsia" w:ascii="仿宋" w:hAnsi="仿宋" w:cs="仿宋"/>
                <w:kern w:val="0"/>
                <w:sz w:val="22"/>
                <w:szCs w:val="22"/>
              </w:rPr>
            </w:pPr>
            <w:r>
              <w:rPr>
                <w:rFonts w:hint="eastAsia" w:ascii="仿宋" w:hAnsi="仿宋" w:cs="仿宋"/>
                <w:kern w:val="0"/>
                <w:sz w:val="22"/>
                <w:szCs w:val="22"/>
              </w:rPr>
              <w:t>便捷、通用：综合 IP/Co-IP和WB实验所需的所有必要缓冲液，可同时满足样本IP/Co-IP或WB需求；</w:t>
            </w:r>
          </w:p>
          <w:p>
            <w:pPr>
              <w:widowControl/>
              <w:ind w:firstLine="0" w:firstLineChars="0"/>
              <w:textAlignment w:val="center"/>
              <w:rPr>
                <w:rFonts w:ascii="仿宋" w:hAnsi="仿宋" w:cs="仿宋"/>
                <w:sz w:val="22"/>
                <w:szCs w:val="22"/>
              </w:rPr>
            </w:pPr>
            <w:r>
              <w:rPr>
                <w:rFonts w:hint="eastAsia" w:ascii="仿宋" w:hAnsi="仿宋" w:cs="仿宋"/>
                <w:kern w:val="0"/>
                <w:sz w:val="22"/>
                <w:szCs w:val="22"/>
              </w:rPr>
              <w:t>可靠、稳定：包含即用型IP negative control，可排除IgG本身和目的蛋白或其它特定生物分子的非特异性结合，确保IP抗体的特异性；包含独特的IPkine™ 二抗，完美消除重链干扰。</w:t>
            </w:r>
          </w:p>
        </w:tc>
        <w:tc>
          <w:tcPr>
            <w:tcW w:w="3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2盒</w:t>
            </w:r>
          </w:p>
        </w:tc>
      </w:tr>
      <w:tr>
        <w:tblPrEx>
          <w:tblCellMar>
            <w:top w:w="0" w:type="dxa"/>
            <w:left w:w="108" w:type="dxa"/>
            <w:bottom w:w="0" w:type="dxa"/>
            <w:right w:w="108" w:type="dxa"/>
          </w:tblCellMar>
        </w:tblPrEx>
        <w:trPr>
          <w:trHeight w:val="795" w:hRule="atLeast"/>
        </w:trPr>
        <w:tc>
          <w:tcPr>
            <w:tcW w:w="59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43</w:t>
            </w:r>
          </w:p>
        </w:tc>
        <w:tc>
          <w:tcPr>
            <w:tcW w:w="1219"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SureScript™ First-Strand cDNA Synthesis Kit（ Genecopoeia）</w:t>
            </w:r>
          </w:p>
        </w:tc>
        <w:tc>
          <w:tcPr>
            <w:tcW w:w="2828"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20ul体系60次/盒，15分钟完成 RNA 模板的逆转录反应</w:t>
            </w:r>
          </w:p>
        </w:tc>
        <w:tc>
          <w:tcPr>
            <w:tcW w:w="360"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w:t>
            </w:r>
          </w:p>
        </w:tc>
      </w:tr>
      <w:tr>
        <w:tblPrEx>
          <w:tblCellMar>
            <w:top w:w="0" w:type="dxa"/>
            <w:left w:w="108" w:type="dxa"/>
            <w:bottom w:w="0" w:type="dxa"/>
            <w:right w:w="108" w:type="dxa"/>
          </w:tblCellMar>
        </w:tblPrEx>
        <w:trPr>
          <w:trHeight w:val="135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44</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BlazeTaq™ SYBR® Green qPCR mix2.0（ Genecopoeia）</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20ul体系1200次/盒，反应时只需 95°C 预变性 30 s 即可使 酶完全被激活</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20</w:t>
            </w:r>
          </w:p>
        </w:tc>
      </w:tr>
      <w:tr>
        <w:tblPrEx>
          <w:tblCellMar>
            <w:top w:w="0" w:type="dxa"/>
            <w:left w:w="108" w:type="dxa"/>
            <w:bottom w:w="0" w:type="dxa"/>
            <w:right w:w="108" w:type="dxa"/>
          </w:tblCellMar>
        </w:tblPrEx>
        <w:trPr>
          <w:trHeight w:val="135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45</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RNAzol® RT RNA Isolation Reagent（ Genecopoeia）</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50ML/瓶，两个小时内完成整个提取分离操作，无需氯仿诱导的相分离操作</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5瓶</w:t>
            </w:r>
          </w:p>
        </w:tc>
      </w:tr>
      <w:tr>
        <w:tblPrEx>
          <w:tblCellMar>
            <w:top w:w="0" w:type="dxa"/>
            <w:left w:w="108" w:type="dxa"/>
            <w:bottom w:w="0" w:type="dxa"/>
            <w:right w:w="108" w:type="dxa"/>
          </w:tblCellMar>
        </w:tblPrEx>
        <w:trPr>
          <w:trHeight w:val="162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46</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Luc-Pair™ Duo-Luciferase Assay Kit 2.0（ Genecopoeia）</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1000次/盒，添加底物 30 分钟后，荧光素酶活性仍保持在 80% 以上，检测方法可搭配微孔板使用</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5盒</w:t>
            </w:r>
          </w:p>
        </w:tc>
      </w:tr>
      <w:tr>
        <w:tblPrEx>
          <w:tblCellMar>
            <w:top w:w="0" w:type="dxa"/>
            <w:left w:w="108" w:type="dxa"/>
            <w:bottom w:w="0" w:type="dxa"/>
            <w:right w:w="108" w:type="dxa"/>
          </w:tblCellMar>
        </w:tblPrEx>
        <w:trPr>
          <w:trHeight w:val="2235"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47</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EndoFectin™ Max转染试剂 （ Genecopoeia）</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3ml/支，进行转染操作时，不需提前去除细胞培养液或血清；</w:t>
            </w:r>
            <w:r>
              <w:rPr>
                <w:rFonts w:hint="eastAsia" w:ascii="仿宋" w:hAnsi="仿宋" w:cs="仿宋"/>
                <w:kern w:val="0"/>
                <w:sz w:val="22"/>
                <w:szCs w:val="22"/>
              </w:rPr>
              <w:br w:type="textWrapping"/>
            </w:r>
            <w:r>
              <w:rPr>
                <w:rFonts w:hint="eastAsia" w:ascii="仿宋" w:hAnsi="仿宋" w:cs="仿宋"/>
                <w:kern w:val="0"/>
                <w:sz w:val="22"/>
                <w:szCs w:val="22"/>
              </w:rPr>
              <w:t>进行转染操作后，不需清洗细胞或更换培养基；适用于基因过表达、基因敲减、敲除的常规转染操作，亦适用于微孔板的高通量转染操作</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5支</w:t>
            </w:r>
          </w:p>
        </w:tc>
      </w:tr>
      <w:tr>
        <w:tblPrEx>
          <w:tblCellMar>
            <w:top w:w="0" w:type="dxa"/>
            <w:left w:w="108" w:type="dxa"/>
            <w:bottom w:w="0" w:type="dxa"/>
            <w:right w:w="108" w:type="dxa"/>
          </w:tblCellMar>
        </w:tblPrEx>
        <w:trPr>
          <w:trHeight w:val="1304"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48</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MycoGuard™ Mycoplasma PCR Detection Kit 2.0（ Genecopoeia）</w:t>
            </w:r>
          </w:p>
        </w:tc>
        <w:tc>
          <w:tcPr>
            <w:tcW w:w="28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50 rxns/盒，能检测包括以上常见支原体在内的50多种支原体。通过260bp到280bp长的PCR扩增产物，很容易识别被支原体污染的样品</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5盒</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49</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宋体" w:hAnsi="宋体" w:eastAsia="宋体" w:cs="宋体"/>
                <w:color w:val="000000"/>
                <w:sz w:val="22"/>
                <w:szCs w:val="22"/>
              </w:rPr>
            </w:pPr>
            <w:r>
              <w:rPr>
                <w:rFonts w:hint="eastAsia"/>
                <w:color w:val="000000"/>
                <w:sz w:val="22"/>
                <w:szCs w:val="22"/>
              </w:rPr>
              <w:t>ACER2 antibody</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color w:val="000000"/>
                <w:sz w:val="22"/>
                <w:szCs w:val="22"/>
              </w:rPr>
            </w:pPr>
            <w:r>
              <w:rPr>
                <w:rFonts w:hint="eastAsia"/>
                <w:color w:val="000000"/>
                <w:sz w:val="22"/>
                <w:szCs w:val="22"/>
              </w:rPr>
              <w:t>100ul，Reacts with: Rat, Human</w:t>
            </w:r>
            <w:r>
              <w:rPr>
                <w:rFonts w:hint="eastAsia"/>
                <w:color w:val="000000"/>
                <w:sz w:val="22"/>
                <w:szCs w:val="22"/>
              </w:rPr>
              <w:br w:type="textWrapping"/>
            </w:r>
            <w:r>
              <w:rPr>
                <w:rFonts w:hint="eastAsia"/>
                <w:color w:val="000000"/>
                <w:sz w:val="22"/>
                <w:szCs w:val="22"/>
              </w:rPr>
              <w:t xml:space="preserve">Suitable for:  WB           </w:t>
            </w:r>
          </w:p>
          <w:p>
            <w:pPr>
              <w:ind w:firstLine="0" w:firstLineChars="0"/>
              <w:rPr>
                <w:rFonts w:ascii="宋体" w:hAnsi="宋体" w:eastAsia="宋体" w:cs="宋体"/>
                <w:color w:val="000000"/>
                <w:sz w:val="22"/>
                <w:szCs w:val="22"/>
              </w:rPr>
            </w:pPr>
            <w:r>
              <w:rPr>
                <w:color w:val="000000"/>
                <w:sz w:val="22"/>
                <w:szCs w:val="22"/>
              </w:rPr>
              <w:t>thermo</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50</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宋体" w:hAnsi="宋体" w:eastAsia="宋体" w:cs="宋体"/>
                <w:color w:val="000000"/>
                <w:sz w:val="22"/>
                <w:szCs w:val="22"/>
              </w:rPr>
            </w:pPr>
            <w:r>
              <w:rPr>
                <w:rFonts w:hint="eastAsia"/>
                <w:color w:val="000000"/>
                <w:sz w:val="22"/>
                <w:szCs w:val="22"/>
              </w:rPr>
              <w:t>AMPK antibody</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color w:val="000000"/>
                <w:sz w:val="22"/>
                <w:szCs w:val="22"/>
              </w:rPr>
            </w:pPr>
            <w:r>
              <w:rPr>
                <w:rFonts w:hint="eastAsia"/>
                <w:color w:val="000000"/>
                <w:sz w:val="22"/>
                <w:szCs w:val="22"/>
              </w:rPr>
              <w:t>100ul，Reacts with: Mouse, Rat, Human</w:t>
            </w:r>
            <w:r>
              <w:rPr>
                <w:rFonts w:hint="eastAsia"/>
                <w:color w:val="000000"/>
                <w:sz w:val="22"/>
                <w:szCs w:val="22"/>
              </w:rPr>
              <w:br w:type="textWrapping"/>
            </w:r>
            <w:r>
              <w:rPr>
                <w:rFonts w:hint="eastAsia"/>
                <w:color w:val="000000"/>
                <w:sz w:val="22"/>
                <w:szCs w:val="22"/>
              </w:rPr>
              <w:t>Suitable for:  Flow Cyt (Intra), ICC/IF, IHC-P, IP, WB</w:t>
            </w:r>
          </w:p>
          <w:p>
            <w:pPr>
              <w:pStyle w:val="2"/>
              <w:ind w:left="0" w:leftChars="0" w:firstLine="0" w:firstLineChars="0"/>
            </w:pPr>
            <w:r>
              <w:t>abcam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51</w:t>
            </w:r>
          </w:p>
        </w:tc>
        <w:tc>
          <w:tcPr>
            <w:tcW w:w="1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宋体" w:hAnsi="宋体" w:eastAsia="宋体" w:cs="宋体"/>
                <w:color w:val="000000"/>
                <w:sz w:val="22"/>
                <w:szCs w:val="22"/>
              </w:rPr>
            </w:pPr>
            <w:r>
              <w:rPr>
                <w:rFonts w:hint="eastAsia"/>
                <w:color w:val="000000"/>
                <w:sz w:val="22"/>
                <w:szCs w:val="22"/>
              </w:rPr>
              <w:t>ULK1 antibody</w:t>
            </w:r>
          </w:p>
        </w:tc>
        <w:tc>
          <w:tcPr>
            <w:tcW w:w="2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color w:val="000000"/>
                <w:sz w:val="22"/>
                <w:szCs w:val="22"/>
              </w:rPr>
            </w:pPr>
            <w:r>
              <w:rPr>
                <w:rFonts w:hint="eastAsia"/>
                <w:color w:val="000000"/>
                <w:sz w:val="22"/>
                <w:szCs w:val="22"/>
              </w:rPr>
              <w:t>100ul，Reacts with: Rat, Human</w:t>
            </w:r>
            <w:r>
              <w:rPr>
                <w:rFonts w:hint="eastAsia"/>
                <w:color w:val="000000"/>
                <w:sz w:val="22"/>
                <w:szCs w:val="22"/>
              </w:rPr>
              <w:br w:type="textWrapping"/>
            </w:r>
            <w:r>
              <w:rPr>
                <w:rFonts w:hint="eastAsia"/>
                <w:color w:val="000000"/>
                <w:sz w:val="22"/>
                <w:szCs w:val="22"/>
              </w:rPr>
              <w:t xml:space="preserve">Suitable for:  ICC/IF, WB </w:t>
            </w:r>
          </w:p>
          <w:p>
            <w:pPr>
              <w:pStyle w:val="2"/>
              <w:ind w:left="0" w:leftChars="0" w:firstLine="0" w:firstLineChars="0"/>
            </w:pPr>
            <w:r>
              <w:t>abcam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52</w:t>
            </w:r>
          </w:p>
        </w:tc>
        <w:tc>
          <w:tcPr>
            <w:tcW w:w="1219"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ind w:firstLine="0" w:firstLineChars="0"/>
              <w:rPr>
                <w:rFonts w:ascii="宋体" w:hAnsi="宋体" w:eastAsia="宋体" w:cs="宋体"/>
                <w:color w:val="1E1E1E"/>
                <w:sz w:val="22"/>
                <w:szCs w:val="22"/>
              </w:rPr>
            </w:pPr>
            <w:r>
              <w:rPr>
                <w:rFonts w:hint="eastAsia"/>
                <w:color w:val="1E1E1E"/>
                <w:sz w:val="22"/>
                <w:szCs w:val="22"/>
              </w:rPr>
              <w:t>ULK1 (phospho S556) antibody</w:t>
            </w:r>
          </w:p>
        </w:tc>
        <w:tc>
          <w:tcPr>
            <w:tcW w:w="2828"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ind w:firstLine="0" w:firstLineChars="0"/>
              <w:rPr>
                <w:color w:val="000000"/>
                <w:sz w:val="22"/>
                <w:szCs w:val="22"/>
              </w:rPr>
            </w:pPr>
            <w:r>
              <w:rPr>
                <w:rFonts w:hint="eastAsia"/>
                <w:color w:val="000000"/>
                <w:sz w:val="22"/>
                <w:szCs w:val="22"/>
              </w:rPr>
              <w:t>100ul，Reacts with: Mouse, Rat, Human</w:t>
            </w:r>
            <w:r>
              <w:rPr>
                <w:rFonts w:hint="eastAsia"/>
                <w:color w:val="000000"/>
                <w:sz w:val="22"/>
                <w:szCs w:val="22"/>
              </w:rPr>
              <w:br w:type="textWrapping"/>
            </w:r>
            <w:r>
              <w:rPr>
                <w:rFonts w:hint="eastAsia"/>
                <w:color w:val="000000"/>
                <w:sz w:val="22"/>
                <w:szCs w:val="22"/>
              </w:rPr>
              <w:t>Suitable for:  IHC-P, WB</w:t>
            </w:r>
          </w:p>
          <w:p>
            <w:pPr>
              <w:pStyle w:val="2"/>
              <w:ind w:left="0" w:leftChars="0" w:firstLine="0" w:firstLineChars="0"/>
            </w:pPr>
            <w:r>
              <w:t>abcam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53</w:t>
            </w:r>
          </w:p>
        </w:tc>
        <w:tc>
          <w:tcPr>
            <w:tcW w:w="1219" w:type="pct"/>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firstLineChars="0"/>
              <w:rPr>
                <w:rFonts w:ascii="宋体" w:hAnsi="宋体" w:eastAsia="宋体" w:cs="宋体"/>
                <w:color w:val="000000"/>
                <w:sz w:val="22"/>
                <w:szCs w:val="22"/>
              </w:rPr>
            </w:pPr>
            <w:r>
              <w:rPr>
                <w:rFonts w:hint="eastAsia"/>
                <w:color w:val="000000"/>
                <w:sz w:val="22"/>
                <w:szCs w:val="22"/>
              </w:rPr>
              <w:t>LC3B antibody</w:t>
            </w:r>
          </w:p>
        </w:tc>
        <w:tc>
          <w:tcPr>
            <w:tcW w:w="2828" w:type="pct"/>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firstLineChars="0"/>
              <w:rPr>
                <w:color w:val="000000"/>
                <w:sz w:val="22"/>
                <w:szCs w:val="22"/>
              </w:rPr>
            </w:pPr>
            <w:r>
              <w:rPr>
                <w:rFonts w:hint="eastAsia"/>
                <w:color w:val="000000"/>
                <w:sz w:val="22"/>
                <w:szCs w:val="22"/>
              </w:rPr>
              <w:t>40ul，Reacts with: Mouse, Rat, Human</w:t>
            </w:r>
            <w:r>
              <w:rPr>
                <w:rFonts w:hint="eastAsia"/>
                <w:color w:val="000000"/>
                <w:sz w:val="22"/>
                <w:szCs w:val="22"/>
              </w:rPr>
              <w:br w:type="textWrapping"/>
            </w:r>
            <w:r>
              <w:rPr>
                <w:rFonts w:hint="eastAsia"/>
                <w:color w:val="000000"/>
                <w:sz w:val="22"/>
                <w:szCs w:val="22"/>
              </w:rPr>
              <w:t>Suitable for:  IHC-P, WB, ICC/IF</w:t>
            </w:r>
          </w:p>
          <w:p>
            <w:pPr>
              <w:pStyle w:val="2"/>
              <w:ind w:left="0" w:leftChars="0" w:firstLine="0" w:firstLineChars="0"/>
            </w:pPr>
            <w:r>
              <w:t>abcam</w:t>
            </w:r>
          </w:p>
        </w:tc>
        <w:tc>
          <w:tcPr>
            <w:tcW w:w="360"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r>
        <w:tblPrEx>
          <w:tblCellMar>
            <w:top w:w="0" w:type="dxa"/>
            <w:left w:w="108" w:type="dxa"/>
            <w:bottom w:w="0" w:type="dxa"/>
            <w:right w:w="108" w:type="dxa"/>
          </w:tblCellMar>
        </w:tblPrEx>
        <w:trPr>
          <w:trHeight w:val="270" w:hRule="atLeast"/>
        </w:trPr>
        <w:tc>
          <w:tcPr>
            <w:tcW w:w="59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rPr>
              <w:t>54</w:t>
            </w:r>
          </w:p>
        </w:tc>
        <w:tc>
          <w:tcPr>
            <w:tcW w:w="1219"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宋体" w:hAnsi="宋体" w:eastAsia="宋体" w:cs="宋体"/>
                <w:color w:val="000000"/>
                <w:sz w:val="22"/>
                <w:szCs w:val="22"/>
              </w:rPr>
            </w:pPr>
            <w:r>
              <w:rPr>
                <w:rFonts w:hint="eastAsia"/>
                <w:color w:val="000000"/>
                <w:sz w:val="22"/>
                <w:szCs w:val="22"/>
              </w:rPr>
              <w:t>P62 antibody</w:t>
            </w:r>
          </w:p>
        </w:tc>
        <w:tc>
          <w:tcPr>
            <w:tcW w:w="2828"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ind w:firstLine="0" w:firstLineChars="0"/>
              <w:rPr>
                <w:color w:val="000000"/>
                <w:sz w:val="22"/>
                <w:szCs w:val="22"/>
              </w:rPr>
            </w:pPr>
            <w:r>
              <w:rPr>
                <w:rFonts w:hint="eastAsia"/>
                <w:color w:val="000000"/>
                <w:sz w:val="22"/>
                <w:szCs w:val="22"/>
              </w:rPr>
              <w:t>40ul，Reacts with: Mouse, Rat, Human</w:t>
            </w:r>
            <w:r>
              <w:rPr>
                <w:rFonts w:hint="eastAsia"/>
                <w:color w:val="000000"/>
                <w:sz w:val="22"/>
                <w:szCs w:val="22"/>
              </w:rPr>
              <w:br w:type="textWrapping"/>
            </w:r>
            <w:r>
              <w:rPr>
                <w:rFonts w:hint="eastAsia"/>
                <w:color w:val="000000"/>
                <w:sz w:val="22"/>
                <w:szCs w:val="22"/>
              </w:rPr>
              <w:t>Suitable for:  Flow Cyt (Intra), ICC/IF, IP, WB</w:t>
            </w:r>
          </w:p>
          <w:p>
            <w:pPr>
              <w:pStyle w:val="2"/>
              <w:ind w:left="0" w:leftChars="0" w:firstLine="0" w:firstLineChars="0"/>
            </w:pPr>
            <w:r>
              <w:t>abcam</w:t>
            </w:r>
          </w:p>
        </w:tc>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rPr>
              <w:t>1支</w:t>
            </w:r>
          </w:p>
        </w:tc>
      </w:tr>
    </w:tbl>
    <w:p>
      <w:pPr>
        <w:ind w:firstLine="482"/>
        <w:rPr>
          <w:rFonts w:ascii="仿宋" w:hAnsi="仿宋" w:cs="仿宋"/>
          <w:b/>
          <w:bCs/>
        </w:rPr>
      </w:pPr>
      <w:r>
        <w:rPr>
          <w:rFonts w:hint="eastAsia" w:ascii="仿宋" w:hAnsi="仿宋" w:cs="仿宋"/>
          <w:b/>
          <w:bCs/>
        </w:rPr>
        <w:br w:type="page"/>
      </w:r>
    </w:p>
    <w:p>
      <w:pPr>
        <w:ind w:firstLine="482"/>
        <w:rPr>
          <w:rFonts w:ascii="仿宋" w:hAnsi="仿宋" w:cs="仿宋"/>
          <w:b/>
          <w:bCs/>
        </w:rPr>
      </w:pPr>
      <w:r>
        <w:rPr>
          <w:rFonts w:hint="eastAsia" w:ascii="仿宋" w:hAnsi="仿宋" w:cs="仿宋"/>
          <w:b/>
          <w:bCs/>
        </w:rPr>
        <w:t>C包  预算：24.1</w:t>
      </w:r>
      <w:r>
        <w:rPr>
          <w:rFonts w:hint="eastAsia" w:ascii="仿宋" w:hAnsi="仿宋" w:cs="仿宋"/>
          <w:b/>
          <w:bCs/>
          <w:lang w:val="en-US" w:eastAsia="zh-CN"/>
        </w:rPr>
        <w:t>1</w:t>
      </w:r>
      <w:r>
        <w:rPr>
          <w:rFonts w:hint="eastAsia" w:ascii="仿宋" w:hAnsi="仿宋" w:cs="仿宋"/>
          <w:b/>
          <w:bCs/>
        </w:rPr>
        <w:t>万元</w:t>
      </w:r>
    </w:p>
    <w:tbl>
      <w:tblPr>
        <w:tblStyle w:val="21"/>
        <w:tblW w:w="5000" w:type="pct"/>
        <w:tblInd w:w="0" w:type="dxa"/>
        <w:tblLayout w:type="fixed"/>
        <w:tblCellMar>
          <w:top w:w="0" w:type="dxa"/>
          <w:left w:w="108" w:type="dxa"/>
          <w:bottom w:w="0" w:type="dxa"/>
          <w:right w:w="108" w:type="dxa"/>
        </w:tblCellMar>
      </w:tblPr>
      <w:tblGrid>
        <w:gridCol w:w="1101"/>
        <w:gridCol w:w="2409"/>
        <w:gridCol w:w="5529"/>
        <w:gridCol w:w="816"/>
      </w:tblGrid>
      <w:tr>
        <w:tblPrEx>
          <w:tblCellMar>
            <w:top w:w="0" w:type="dxa"/>
            <w:left w:w="108" w:type="dxa"/>
            <w:bottom w:w="0" w:type="dxa"/>
            <w:right w:w="108" w:type="dxa"/>
          </w:tblCellMar>
        </w:tblPrEx>
        <w:trPr>
          <w:trHeight w:val="48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b/>
                <w:bCs/>
                <w:szCs w:val="24"/>
              </w:rPr>
            </w:pPr>
            <w:r>
              <w:rPr>
                <w:rFonts w:hint="eastAsia" w:ascii="仿宋" w:hAnsi="仿宋" w:cs="仿宋"/>
                <w:b/>
                <w:bCs/>
                <w:kern w:val="0"/>
                <w:szCs w:val="24"/>
              </w:rPr>
              <w:t>序号</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试剂耗材名称</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kern w:val="0"/>
                <w:szCs w:val="24"/>
              </w:rPr>
            </w:pPr>
            <w:r>
              <w:rPr>
                <w:rFonts w:hint="eastAsia" w:ascii="仿宋" w:hAnsi="仿宋" w:cs="仿宋"/>
                <w:b/>
                <w:bCs/>
                <w:kern w:val="0"/>
                <w:szCs w:val="24"/>
              </w:rPr>
              <w:t>规格型号（参数）</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数量</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ECM内皮细胞培养基</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500ml</w:t>
            </w:r>
            <w:r>
              <w:rPr>
                <w:rFonts w:ascii="仿宋" w:hAnsi="仿宋" w:cs="仿宋"/>
                <w:kern w:val="0"/>
                <w:szCs w:val="24"/>
              </w:rPr>
              <w:t>(sciencell)</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胎牛血清（新西兰血源）</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500ml</w:t>
            </w:r>
            <w:r>
              <w:rPr>
                <w:rFonts w:ascii="仿宋" w:hAnsi="仿宋" w:cs="仿宋"/>
                <w:kern w:val="0"/>
                <w:szCs w:val="24"/>
              </w:rPr>
              <w:t>(hyclone)</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6瓶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预染蛋白Marker</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250ul*10/支(</w:t>
            </w:r>
            <w:r>
              <w:rPr>
                <w:rFonts w:ascii="仿宋" w:hAnsi="仿宋" w:cs="仿宋"/>
                <w:kern w:val="0"/>
                <w:szCs w:val="24"/>
              </w:rPr>
              <w:t>thermofisher)</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 xml:space="preserve">Lipofectamine™ 3000 </w:t>
            </w:r>
            <w:r>
              <w:rPr>
                <w:rFonts w:hint="eastAsia" w:ascii="仿宋" w:hAnsi="仿宋" w:cs="仿宋"/>
                <w:kern w:val="0"/>
                <w:szCs w:val="24"/>
              </w:rPr>
              <w:br w:type="textWrapping"/>
            </w:r>
            <w:r>
              <w:rPr>
                <w:rFonts w:hint="eastAsia" w:ascii="仿宋" w:hAnsi="仿宋" w:cs="仿宋"/>
                <w:kern w:val="0"/>
                <w:szCs w:val="24"/>
              </w:rPr>
              <w:t>Transfection Reagent</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1.5ml(</w:t>
            </w:r>
            <w:r>
              <w:rPr>
                <w:rFonts w:ascii="仿宋" w:hAnsi="仿宋" w:cs="仿宋"/>
                <w:kern w:val="0"/>
                <w:szCs w:val="24"/>
              </w:rPr>
              <w:t>thermofisher)</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Lipofectamine RNAiMAX</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1.5ml(</w:t>
            </w:r>
            <w:r>
              <w:rPr>
                <w:rFonts w:ascii="仿宋" w:hAnsi="仿宋" w:cs="仿宋"/>
                <w:kern w:val="0"/>
                <w:szCs w:val="24"/>
              </w:rPr>
              <w:t>thermofisher)</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Flexcell I型胶原酶包被牵张弹力板</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40块/箱(</w:t>
            </w:r>
            <w:r>
              <w:rPr>
                <w:rFonts w:ascii="仿宋" w:hAnsi="仿宋" w:cs="仿宋"/>
                <w:kern w:val="0"/>
                <w:szCs w:val="24"/>
              </w:rPr>
              <w:t>flexcell)</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1箱</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7</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0.45μm PVDF膜</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26.5*3.75m</w:t>
            </w:r>
            <w:r>
              <w:rPr>
                <w:rFonts w:ascii="仿宋" w:hAnsi="仿宋" w:cs="仿宋"/>
                <w:kern w:val="0"/>
                <w:szCs w:val="24"/>
              </w:rPr>
              <w:t>(millpore)</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10卷</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8</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2.0ml可立外旋冻存管</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 xml:space="preserve">50个/包 </w:t>
            </w:r>
            <w:r>
              <w:rPr>
                <w:rFonts w:ascii="仿宋" w:hAnsi="仿宋" w:cs="仿宋"/>
                <w:kern w:val="0"/>
                <w:szCs w:val="24"/>
              </w:rPr>
              <w:t>(corning)</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10包</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9</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PAGE凝胶快速制备试剂盒</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125gels（0.75mm胶）(</w:t>
            </w:r>
            <w:r>
              <w:rPr>
                <w:rFonts w:ascii="仿宋" w:hAnsi="仿宋" w:cs="仿宋"/>
                <w:kern w:val="0"/>
                <w:szCs w:val="24"/>
              </w:rPr>
              <w:t>epizyme)</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10</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12孔细胞培养板</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1块/袋(</w:t>
            </w:r>
            <w:r>
              <w:rPr>
                <w:rFonts w:ascii="仿宋" w:hAnsi="仿宋" w:cs="仿宋"/>
                <w:kern w:val="0"/>
                <w:szCs w:val="24"/>
              </w:rPr>
              <w:t>jet)</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11块</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11</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Lipofectamine™ 2000</w:t>
            </w:r>
            <w:r>
              <w:rPr>
                <w:rFonts w:hint="eastAsia" w:ascii="仿宋" w:hAnsi="仿宋" w:cs="仿宋"/>
                <w:kern w:val="0"/>
                <w:szCs w:val="24"/>
              </w:rPr>
              <w:br w:type="textWrapping"/>
            </w:r>
            <w:r>
              <w:rPr>
                <w:rFonts w:hint="eastAsia" w:ascii="仿宋" w:hAnsi="仿宋" w:cs="仿宋"/>
                <w:kern w:val="0"/>
                <w:szCs w:val="24"/>
              </w:rPr>
              <w:t xml:space="preserve"> Transfection Reagent</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ascii="仿宋" w:hAnsi="仿宋" w:cs="仿宋"/>
                <w:kern w:val="0"/>
                <w:szCs w:val="24"/>
              </w:rPr>
              <w:t>1.5ml(</w:t>
            </w:r>
            <w:r>
              <w:rPr>
                <w:rFonts w:ascii="仿宋" w:hAnsi="仿宋" w:cs="仿宋"/>
                <w:kern w:val="0"/>
                <w:szCs w:val="24"/>
              </w:rPr>
              <w:t>thermofisher)</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1支</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12</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乳胶手套/抽取式M</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100只/盒，10盒/箱</w:t>
            </w:r>
          </w:p>
          <w:p>
            <w:pPr>
              <w:ind w:firstLine="0" w:firstLineChars="0"/>
              <w:rPr>
                <w:rFonts w:ascii="等线" w:hAnsi="等线" w:eastAsia="等线" w:cs="宋体"/>
                <w:color w:val="000000"/>
                <w:szCs w:val="24"/>
              </w:rPr>
            </w:pPr>
            <w:r>
              <w:rPr>
                <w:rFonts w:hint="eastAsia" w:ascii="仿宋" w:hAnsi="仿宋" w:cs="仿宋"/>
                <w:kern w:val="0"/>
                <w:szCs w:val="24"/>
              </w:rPr>
              <w:t>防水防划破</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1箱</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13</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PBS PH=7.4</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500ml</w:t>
            </w:r>
          </w:p>
          <w:p>
            <w:pPr>
              <w:ind w:firstLine="0" w:firstLineChars="0"/>
              <w:rPr>
                <w:rFonts w:ascii="等线" w:hAnsi="等线" w:eastAsia="等线" w:cs="宋体"/>
                <w:color w:val="000000"/>
                <w:szCs w:val="24"/>
              </w:rPr>
            </w:pPr>
            <w:r>
              <w:rPr>
                <w:rFonts w:hint="eastAsia" w:ascii="仿宋" w:hAnsi="仿宋" w:cs="仿宋"/>
                <w:kern w:val="0"/>
                <w:szCs w:val="24"/>
              </w:rPr>
              <w:t>使用6ml，细胞级别使用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10瓶</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14</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Trypsin-EDTA(0.25%) no phenol red</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100ml</w:t>
            </w:r>
          </w:p>
          <w:p>
            <w:pPr>
              <w:ind w:firstLine="0" w:firstLineChars="0"/>
              <w:rPr>
                <w:rFonts w:ascii="等线" w:hAnsi="等线" w:eastAsia="等线" w:cs="宋体"/>
                <w:color w:val="000000"/>
                <w:szCs w:val="24"/>
              </w:rPr>
            </w:pPr>
            <w:r>
              <w:rPr>
                <w:rFonts w:hint="eastAsia" w:ascii="仿宋" w:hAnsi="仿宋" w:cs="仿宋"/>
                <w:kern w:val="0"/>
                <w:szCs w:val="24"/>
              </w:rPr>
              <w:t>每次使用1ml，细胞级别使用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10瓶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15</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FBS</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500ml</w:t>
            </w:r>
          </w:p>
          <w:p>
            <w:pPr>
              <w:ind w:firstLine="0" w:firstLineChars="0"/>
              <w:rPr>
                <w:rFonts w:ascii="等线" w:hAnsi="等线" w:eastAsia="等线" w:cs="宋体"/>
                <w:color w:val="000000"/>
                <w:szCs w:val="24"/>
              </w:rPr>
            </w:pPr>
            <w:r>
              <w:rPr>
                <w:rFonts w:hint="eastAsia" w:ascii="仿宋" w:hAnsi="仿宋" w:cs="仿宋"/>
                <w:kern w:val="0"/>
                <w:szCs w:val="24"/>
              </w:rPr>
              <w:t>每次使用55ml，细胞级别使用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1瓶</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16</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Polybrene 聚凝胺（10mg/ml)</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5*500ul</w:t>
            </w:r>
          </w:p>
          <w:p>
            <w:pPr>
              <w:ind w:firstLine="0" w:firstLineChars="0"/>
              <w:rPr>
                <w:rFonts w:ascii="等线" w:hAnsi="等线" w:eastAsia="等线" w:cs="宋体"/>
                <w:color w:val="000000"/>
                <w:szCs w:val="24"/>
              </w:rPr>
            </w:pPr>
            <w:r>
              <w:rPr>
                <w:rFonts w:hint="eastAsia" w:ascii="仿宋" w:hAnsi="仿宋" w:cs="仿宋"/>
                <w:kern w:val="0"/>
                <w:szCs w:val="24"/>
              </w:rPr>
              <w:t>1：1000，细胞级别使用，病毒感染</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1盒</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17</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BM5000 DNA Marker</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eastAsia" w:ascii="仿宋" w:hAnsi="仿宋" w:cs="仿宋"/>
                <w:szCs w:val="24"/>
              </w:rPr>
            </w:pPr>
            <w:r>
              <w:rPr>
                <w:rFonts w:hint="eastAsia" w:ascii="仿宋" w:hAnsi="仿宋" w:cs="仿宋"/>
                <w:kern w:val="0"/>
                <w:szCs w:val="24"/>
              </w:rPr>
              <w:t>200次（250ul×4支）</w:t>
            </w:r>
          </w:p>
          <w:p>
            <w:pPr>
              <w:widowControl/>
              <w:ind w:firstLine="0" w:firstLineChars="0"/>
              <w:textAlignment w:val="center"/>
              <w:rPr>
                <w:rFonts w:ascii="仿宋" w:hAnsi="仿宋" w:cs="仿宋"/>
                <w:szCs w:val="24"/>
              </w:rPr>
            </w:pPr>
            <w:r>
              <w:rPr>
                <w:rFonts w:hint="eastAsia" w:ascii="仿宋" w:hAnsi="仿宋" w:cs="仿宋"/>
                <w:kern w:val="0"/>
                <w:szCs w:val="24"/>
              </w:rPr>
              <w:t>每次上样6ul，指示DNA凝胶条带位置</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18</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Streptavidin-HRP</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1mg</w:t>
            </w:r>
          </w:p>
          <w:p>
            <w:pPr>
              <w:ind w:firstLine="0" w:firstLineChars="0"/>
              <w:rPr>
                <w:rFonts w:ascii="等线" w:hAnsi="等线" w:eastAsia="等线" w:cs="宋体"/>
                <w:color w:val="000000"/>
                <w:szCs w:val="24"/>
              </w:rPr>
            </w:pPr>
            <w:r>
              <w:rPr>
                <w:rFonts w:hint="eastAsia" w:ascii="仿宋" w:hAnsi="仿宋" w:cs="仿宋"/>
                <w:kern w:val="0"/>
                <w:szCs w:val="24"/>
              </w:rPr>
              <w:t>Wstern Blot抗体可按照1：2000稀释使用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19</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D-生物素</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5g</w:t>
            </w:r>
          </w:p>
          <w:p>
            <w:pPr>
              <w:ind w:firstLine="0" w:firstLineChars="0"/>
              <w:rPr>
                <w:rFonts w:ascii="等线" w:hAnsi="等线" w:eastAsia="等线" w:cs="宋体"/>
                <w:color w:val="000000"/>
                <w:szCs w:val="24"/>
              </w:rPr>
            </w:pPr>
            <w:r>
              <w:rPr>
                <w:rFonts w:hint="eastAsia" w:ascii="仿宋" w:hAnsi="仿宋" w:cs="仿宋"/>
                <w:kern w:val="0"/>
                <w:szCs w:val="24"/>
              </w:rPr>
              <w:t>细胞级别使用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20</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2×Taq PCR Mix（含染料）</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5×1 ml</w:t>
            </w:r>
          </w:p>
          <w:p>
            <w:pPr>
              <w:ind w:firstLine="0" w:firstLineChars="0"/>
              <w:rPr>
                <w:rFonts w:ascii="等线" w:hAnsi="等线" w:eastAsia="等线" w:cs="宋体"/>
                <w:color w:val="000000"/>
                <w:szCs w:val="24"/>
              </w:rPr>
            </w:pPr>
            <w:r>
              <w:rPr>
                <w:rFonts w:hint="eastAsia" w:ascii="仿宋" w:hAnsi="仿宋" w:cs="仿宋"/>
                <w:kern w:val="0"/>
                <w:szCs w:val="24"/>
              </w:rPr>
              <w:t>含Taq DNA 聚合酶、dNTP 和 PCR 所需的其他全部组分的 2X 浓缩液，1:2</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2盒</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21</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0.1ml透明PCR8联管&amp;8联光学盖</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125条/盒,10盒/箱</w:t>
            </w:r>
          </w:p>
          <w:p>
            <w:pPr>
              <w:ind w:firstLine="0" w:firstLineChars="0"/>
              <w:rPr>
                <w:rFonts w:ascii="等线" w:hAnsi="等线" w:eastAsia="等线" w:cs="宋体"/>
                <w:color w:val="000000"/>
                <w:szCs w:val="24"/>
              </w:rPr>
            </w:pPr>
            <w:r>
              <w:rPr>
                <w:rFonts w:hint="eastAsia" w:ascii="仿宋" w:hAnsi="仿宋" w:cs="仿宋"/>
                <w:kern w:val="0"/>
                <w:szCs w:val="24"/>
              </w:rPr>
              <w:t>适用于0.1mL/0.2mL八联排管或96孔板。适配大多数常规体系PCR仪。适配大多数常规体系PCR仪，如ABI/Life Technologies普通及定量PCR仪、罗氏、Bio-Rad等品牌的PCR仪，可进行PCR及RT-qPCR相关实验研究。</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4盒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22</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耳标钳</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等线" w:hAnsi="等线" w:eastAsia="等线" w:cs="宋体"/>
                <w:color w:val="000000"/>
                <w:szCs w:val="24"/>
              </w:rPr>
            </w:pPr>
            <w:r>
              <w:rPr>
                <w:rFonts w:hint="eastAsia" w:ascii="仿宋" w:hAnsi="仿宋" w:cs="仿宋"/>
                <w:kern w:val="0"/>
                <w:szCs w:val="24"/>
              </w:rPr>
              <w:t>耳标钳与耳标配套使用，将耳标放在耳标钳固定位置，耳标卡口对准老鼠的一只耳朵，轻轻压上耳标钳，耳标尖端穿过鼠耳，与另一端锁定。</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2件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23</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1000ml蓝盖瓶</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等线" w:hAnsi="等线" w:eastAsia="等线" w:cs="宋体"/>
                <w:color w:val="000000"/>
                <w:szCs w:val="24"/>
              </w:rPr>
            </w:pPr>
            <w:r>
              <w:rPr>
                <w:rFonts w:hint="eastAsia" w:ascii="仿宋" w:hAnsi="仿宋" w:cs="仿宋"/>
                <w:kern w:val="0"/>
                <w:szCs w:val="24"/>
              </w:rPr>
              <w:t>可121℃高压，</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6瓶</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24</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Western一抗二抗去除液（弱碱性）</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kern w:val="0"/>
                <w:szCs w:val="24"/>
              </w:rPr>
            </w:pPr>
            <w:r>
              <w:rPr>
                <w:rFonts w:hint="eastAsia" w:ascii="仿宋" w:hAnsi="仿宋" w:cs="仿宋"/>
                <w:kern w:val="0"/>
                <w:szCs w:val="24"/>
              </w:rPr>
              <w:t>250ml</w:t>
            </w:r>
          </w:p>
          <w:p>
            <w:pPr>
              <w:ind w:firstLine="0" w:firstLineChars="0"/>
              <w:rPr>
                <w:rFonts w:ascii="等线" w:hAnsi="等线" w:eastAsia="等线" w:cs="宋体"/>
                <w:color w:val="000000"/>
                <w:szCs w:val="24"/>
              </w:rPr>
            </w:pPr>
            <w:r>
              <w:rPr>
                <w:rFonts w:hint="eastAsia" w:ascii="仿宋" w:hAnsi="仿宋" w:cs="仿宋"/>
                <w:kern w:val="0"/>
                <w:szCs w:val="24"/>
              </w:rPr>
              <w:t>20-30min，适用PVDF/NC</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1瓶</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25</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高敏型ECL 化学发光检测试剂盒( 即用型)</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2*50ml</w:t>
            </w:r>
          </w:p>
          <w:p>
            <w:pPr>
              <w:ind w:firstLine="0" w:firstLineChars="0"/>
              <w:rPr>
                <w:rFonts w:ascii="等线" w:hAnsi="等线" w:eastAsia="等线" w:cs="宋体"/>
                <w:color w:val="000000"/>
                <w:szCs w:val="24"/>
              </w:rPr>
            </w:pPr>
            <w:r>
              <w:rPr>
                <w:rFonts w:hint="eastAsia" w:ascii="仿宋" w:hAnsi="仿宋" w:cs="仿宋"/>
                <w:kern w:val="0"/>
                <w:szCs w:val="24"/>
              </w:rPr>
              <w:t>A液：B液=1：1，中高灵敏度显影</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26</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DH5α 感受态细胞</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20×100μl</w:t>
            </w:r>
          </w:p>
          <w:p>
            <w:pPr>
              <w:ind w:firstLine="0" w:firstLineChars="0"/>
              <w:rPr>
                <w:rFonts w:ascii="等线" w:hAnsi="等线" w:eastAsia="等线" w:cs="宋体"/>
                <w:color w:val="000000"/>
                <w:szCs w:val="24"/>
              </w:rPr>
            </w:pPr>
            <w:r>
              <w:rPr>
                <w:rFonts w:hint="eastAsia" w:ascii="仿宋" w:hAnsi="仿宋" w:cs="仿宋"/>
                <w:kern w:val="0"/>
                <w:szCs w:val="24"/>
              </w:rPr>
              <w:t>每次使用50ul，细胞转化使用。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1袋</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27</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BM2000 DNA Marker</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200次（250ul*4)</w:t>
            </w:r>
          </w:p>
          <w:p>
            <w:pPr>
              <w:ind w:firstLine="0" w:firstLineChars="0"/>
              <w:rPr>
                <w:rFonts w:ascii="等线" w:hAnsi="等线" w:eastAsia="等线" w:cs="宋体"/>
                <w:color w:val="000000"/>
                <w:szCs w:val="24"/>
              </w:rPr>
            </w:pPr>
            <w:r>
              <w:rPr>
                <w:rFonts w:hint="eastAsia" w:ascii="仿宋" w:hAnsi="仿宋" w:cs="仿宋"/>
                <w:kern w:val="0"/>
                <w:szCs w:val="24"/>
              </w:rPr>
              <w:t>每次上样6ul，指示DNA凝胶条带位置</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28</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15ml离心管</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25个/袋,20袋/箱</w:t>
            </w:r>
          </w:p>
          <w:p>
            <w:pPr>
              <w:ind w:firstLine="0" w:firstLineChars="0"/>
              <w:rPr>
                <w:rFonts w:ascii="等线" w:hAnsi="等线" w:eastAsia="等线" w:cs="宋体"/>
                <w:color w:val="000000"/>
                <w:szCs w:val="24"/>
              </w:rPr>
            </w:pPr>
            <w:r>
              <w:rPr>
                <w:rFonts w:hint="eastAsia" w:ascii="仿宋" w:hAnsi="仿宋" w:cs="仿宋"/>
                <w:kern w:val="0"/>
                <w:szCs w:val="24"/>
              </w:rPr>
              <w:t>37℃水浴，超声，121℃高压，常规冷藏，常规离心</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1箱</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29</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1ml枪头</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500个/袋，10袋/箱</w:t>
            </w:r>
          </w:p>
          <w:p>
            <w:pPr>
              <w:ind w:firstLine="0" w:firstLineChars="0"/>
              <w:rPr>
                <w:rFonts w:ascii="等线" w:hAnsi="等线" w:eastAsia="等线" w:cs="宋体"/>
                <w:color w:val="000000"/>
                <w:szCs w:val="24"/>
              </w:rPr>
            </w:pPr>
            <w:r>
              <w:rPr>
                <w:rFonts w:hint="eastAsia" w:ascii="仿宋" w:hAnsi="仿宋" w:cs="仿宋"/>
                <w:kern w:val="0"/>
                <w:szCs w:val="24"/>
              </w:rPr>
              <w:t>可121℃高压，细胞实验使用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1箱</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30</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黑胶虫清除试剂（200x）</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1ml/管</w:t>
            </w:r>
          </w:p>
          <w:p>
            <w:pPr>
              <w:ind w:firstLine="0" w:firstLineChars="0"/>
              <w:rPr>
                <w:rFonts w:ascii="等线" w:hAnsi="等线" w:eastAsia="等线" w:cs="宋体"/>
                <w:color w:val="000000"/>
                <w:szCs w:val="24"/>
              </w:rPr>
            </w:pPr>
            <w:r>
              <w:rPr>
                <w:rFonts w:hint="eastAsia" w:ascii="仿宋" w:hAnsi="仿宋" w:cs="仿宋"/>
                <w:kern w:val="0"/>
                <w:szCs w:val="24"/>
              </w:rPr>
              <w:t>1：200，储存条件:-20℃。</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1管</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31</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DMSO</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250ml</w:t>
            </w:r>
          </w:p>
          <w:p>
            <w:pPr>
              <w:ind w:firstLine="0" w:firstLineChars="0"/>
              <w:rPr>
                <w:rFonts w:ascii="等线" w:hAnsi="等线" w:eastAsia="等线" w:cs="宋体"/>
                <w:color w:val="000000"/>
                <w:szCs w:val="24"/>
              </w:rPr>
            </w:pPr>
            <w:r>
              <w:rPr>
                <w:rFonts w:hint="eastAsia" w:ascii="仿宋" w:hAnsi="仿宋" w:cs="仿宋"/>
                <w:kern w:val="0"/>
                <w:szCs w:val="24"/>
              </w:rPr>
              <w:t>每次使用100ul，细胞级别使用。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2管</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32</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冻存管</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50个/包</w:t>
            </w:r>
          </w:p>
          <w:p>
            <w:pPr>
              <w:ind w:firstLine="0" w:firstLineChars="0"/>
              <w:rPr>
                <w:rFonts w:ascii="等线" w:hAnsi="等线" w:eastAsia="等线" w:cs="宋体"/>
                <w:color w:val="000000"/>
                <w:szCs w:val="24"/>
              </w:rPr>
            </w:pPr>
            <w:r>
              <w:rPr>
                <w:rFonts w:hint="eastAsia" w:ascii="仿宋" w:hAnsi="仿宋" w:cs="仿宋"/>
                <w:kern w:val="0"/>
                <w:szCs w:val="24"/>
              </w:rPr>
              <w:t>液氮冻存，常规冷藏，可长期保存使用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1包</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33</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无内毒素质粒中量提取试剂盒</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等线" w:hAnsi="等线" w:eastAsia="等线" w:cs="宋体"/>
                <w:color w:val="000000"/>
                <w:szCs w:val="24"/>
              </w:rPr>
            </w:pPr>
            <w:r>
              <w:rPr>
                <w:rFonts w:hint="eastAsia" w:ascii="仿宋" w:hAnsi="仿宋" w:cs="仿宋"/>
                <w:kern w:val="0"/>
                <w:szCs w:val="24"/>
              </w:rPr>
              <w:t>适用于从 50-100 ml 菌液中提取质粒，适用于酶切、测序、细胞转化、细胞转染、显微注射等分子生物学及细胞生物学实验。</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34</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DMEM</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500ml</w:t>
            </w:r>
          </w:p>
          <w:p>
            <w:pPr>
              <w:ind w:firstLine="0" w:firstLineChars="0"/>
              <w:rPr>
                <w:rFonts w:ascii="等线" w:hAnsi="等线" w:eastAsia="等线" w:cs="宋体"/>
                <w:color w:val="000000"/>
                <w:szCs w:val="24"/>
              </w:rPr>
            </w:pPr>
            <w:r>
              <w:rPr>
                <w:rFonts w:hint="eastAsia" w:ascii="仿宋" w:hAnsi="仿宋" w:cs="仿宋"/>
                <w:kern w:val="0"/>
                <w:szCs w:val="24"/>
              </w:rPr>
              <w:t>每次使用6ml，细胞培养使用。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10瓶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35</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低熔点琼脂糖</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5G</w:t>
            </w:r>
          </w:p>
          <w:p>
            <w:pPr>
              <w:ind w:firstLine="0" w:firstLineChars="0"/>
              <w:rPr>
                <w:rFonts w:ascii="等线" w:hAnsi="等线" w:eastAsia="等线" w:cs="宋体"/>
                <w:color w:val="000000"/>
                <w:szCs w:val="24"/>
              </w:rPr>
            </w:pPr>
            <w:r>
              <w:rPr>
                <w:rFonts w:hint="eastAsia" w:ascii="仿宋" w:hAnsi="仿宋" w:cs="仿宋"/>
                <w:kern w:val="0"/>
                <w:szCs w:val="24"/>
              </w:rPr>
              <w:t>25-30°C成胶，约65℃熔化，适用于凝胶内进行的酶促反应、组织培养、细胞克隆以及病毒空斑实验。</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36</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Hyper Gel Red</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500uL</w:t>
            </w:r>
          </w:p>
          <w:p>
            <w:pPr>
              <w:ind w:firstLine="0" w:firstLineChars="0"/>
              <w:rPr>
                <w:rFonts w:ascii="等线" w:hAnsi="等线" w:eastAsia="等线" w:cs="宋体"/>
                <w:color w:val="000000"/>
                <w:szCs w:val="24"/>
              </w:rPr>
            </w:pPr>
            <w:r>
              <w:rPr>
                <w:rFonts w:hint="eastAsia" w:ascii="仿宋" w:hAnsi="仿宋" w:cs="仿宋"/>
                <w:kern w:val="0"/>
                <w:szCs w:val="24"/>
              </w:rPr>
              <w:t>1比6使用，DNA胶使用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2支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37</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电泳液粉包</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1包</w:t>
            </w:r>
          </w:p>
          <w:p>
            <w:pPr>
              <w:ind w:firstLine="0" w:firstLineChars="0"/>
              <w:rPr>
                <w:rFonts w:ascii="等线" w:hAnsi="等线" w:eastAsia="等线" w:cs="宋体"/>
                <w:color w:val="000000"/>
                <w:szCs w:val="24"/>
              </w:rPr>
            </w:pPr>
            <w:r>
              <w:rPr>
                <w:rFonts w:hint="eastAsia" w:ascii="仿宋" w:hAnsi="仿宋" w:cs="仿宋"/>
                <w:kern w:val="0"/>
                <w:szCs w:val="24"/>
              </w:rPr>
              <w:t>每袋使用纯水充分溶解并定容至1000 mL后即可使用。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10包</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38</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转印液粉包</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1包</w:t>
            </w:r>
          </w:p>
          <w:p>
            <w:pPr>
              <w:ind w:firstLine="0" w:firstLineChars="0"/>
              <w:rPr>
                <w:rFonts w:ascii="等线" w:hAnsi="等线" w:eastAsia="等线" w:cs="宋体"/>
                <w:color w:val="000000"/>
                <w:szCs w:val="24"/>
              </w:rPr>
            </w:pPr>
            <w:r>
              <w:rPr>
                <w:rFonts w:hint="eastAsia" w:ascii="仿宋" w:hAnsi="仿宋" w:cs="仿宋"/>
                <w:kern w:val="0"/>
                <w:szCs w:val="24"/>
              </w:rPr>
              <w:t>每袋转膜缓冲液干粉溶解于800 mL水中，然后加入200 mL甲醇（可用乙醇替代）充分混匀；</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10包</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39</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Gateway</w:t>
            </w:r>
            <w:r>
              <w:rPr>
                <w:rFonts w:hint="eastAsia" w:ascii="宋体" w:hAnsi="宋体" w:eastAsia="宋体" w:cs="宋体"/>
                <w:kern w:val="0"/>
                <w:szCs w:val="24"/>
              </w:rPr>
              <w:t>™</w:t>
            </w:r>
            <w:r>
              <w:rPr>
                <w:rFonts w:hint="eastAsia" w:ascii="仿宋" w:hAnsi="仿宋" w:cs="仿宋"/>
                <w:kern w:val="0"/>
                <w:szCs w:val="24"/>
              </w:rPr>
              <w:t xml:space="preserve"> LR Clonase</w:t>
            </w:r>
            <w:r>
              <w:rPr>
                <w:rFonts w:hint="eastAsia" w:ascii="宋体" w:hAnsi="宋体" w:eastAsia="宋体" w:cs="宋体"/>
                <w:kern w:val="0"/>
                <w:szCs w:val="24"/>
              </w:rPr>
              <w:t>™</w:t>
            </w:r>
            <w:r>
              <w:rPr>
                <w:rFonts w:hint="eastAsia" w:ascii="仿宋" w:hAnsi="仿宋" w:cs="仿宋"/>
                <w:kern w:val="0"/>
                <w:szCs w:val="24"/>
              </w:rPr>
              <w:t xml:space="preserve"> II 酶混合物</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 reactions</w:t>
            </w:r>
          </w:p>
          <w:p>
            <w:pPr>
              <w:ind w:firstLine="0" w:firstLineChars="0"/>
              <w:rPr>
                <w:rFonts w:ascii="等线" w:hAnsi="等线" w:eastAsia="等线" w:cs="宋体"/>
                <w:color w:val="000000"/>
                <w:szCs w:val="24"/>
              </w:rPr>
            </w:pPr>
            <w:r>
              <w:rPr>
                <w:rFonts w:hint="eastAsia" w:ascii="仿宋" w:hAnsi="仿宋" w:cs="仿宋"/>
                <w:kern w:val="0"/>
                <w:szCs w:val="24"/>
              </w:rPr>
              <w:t>包含蛋白酶 K 溶液 (2 µg/µL) 和阳性对照载体。在 -20°C 或 -80°C 下储存。妥善储存时，可保证稳定储存 6 个月。</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40</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Gateway</w:t>
            </w:r>
            <w:r>
              <w:rPr>
                <w:rFonts w:hint="eastAsia" w:ascii="宋体" w:hAnsi="宋体" w:eastAsia="宋体" w:cs="宋体"/>
                <w:kern w:val="0"/>
                <w:szCs w:val="24"/>
              </w:rPr>
              <w:t>™</w:t>
            </w:r>
            <w:r>
              <w:rPr>
                <w:rFonts w:hint="eastAsia" w:ascii="仿宋" w:hAnsi="仿宋" w:cs="仿宋"/>
                <w:kern w:val="0"/>
                <w:szCs w:val="24"/>
              </w:rPr>
              <w:t xml:space="preserve"> BP Clonase</w:t>
            </w:r>
            <w:r>
              <w:rPr>
                <w:rFonts w:hint="eastAsia" w:ascii="宋体" w:hAnsi="宋体" w:eastAsia="宋体" w:cs="宋体"/>
                <w:kern w:val="0"/>
                <w:szCs w:val="24"/>
              </w:rPr>
              <w:t>™</w:t>
            </w:r>
            <w:r>
              <w:rPr>
                <w:rFonts w:hint="eastAsia" w:ascii="仿宋" w:hAnsi="仿宋" w:cs="仿宋"/>
                <w:kern w:val="0"/>
                <w:szCs w:val="24"/>
              </w:rPr>
              <w:t xml:space="preserve"> II 酶混合物</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 reactions</w:t>
            </w:r>
          </w:p>
          <w:p>
            <w:pPr>
              <w:ind w:firstLine="0" w:firstLineChars="0"/>
              <w:rPr>
                <w:rFonts w:ascii="等线" w:hAnsi="等线" w:eastAsia="等线" w:cs="宋体"/>
                <w:color w:val="000000"/>
                <w:szCs w:val="24"/>
              </w:rPr>
            </w:pPr>
            <w:r>
              <w:rPr>
                <w:rFonts w:hint="eastAsia" w:ascii="仿宋" w:hAnsi="仿宋" w:cs="仿宋"/>
                <w:kern w:val="0"/>
                <w:szCs w:val="24"/>
              </w:rPr>
              <w:t>包含蛋白酶 K 溶液 (2 μg/μL) 和阳性对照载体。储存在 -20°C 或 -80°C 条件下。妥善储存时，可保证稳定储存 6 个月。</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41</w:t>
            </w:r>
          </w:p>
        </w:tc>
        <w:tc>
          <w:tcPr>
            <w:tcW w:w="1222" w:type="pct"/>
            <w:tcBorders>
              <w:top w:val="single" w:color="000000" w:sz="4" w:space="0"/>
              <w:left w:val="nil"/>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Immobilon Classico Western HRP substrate 发光液</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100ml</w:t>
            </w:r>
          </w:p>
          <w:p>
            <w:pPr>
              <w:ind w:firstLine="0" w:firstLineChars="0"/>
              <w:rPr>
                <w:rFonts w:ascii="等线" w:hAnsi="等线" w:eastAsia="等线" w:cs="宋体"/>
                <w:color w:val="000000"/>
                <w:szCs w:val="24"/>
              </w:rPr>
            </w:pPr>
            <w:r>
              <w:rPr>
                <w:rFonts w:hint="eastAsia" w:ascii="仿宋" w:hAnsi="仿宋" w:cs="仿宋"/>
                <w:kern w:val="0"/>
                <w:szCs w:val="24"/>
              </w:rPr>
              <w:t>Western Blot 显影液，A液：B液=1：1</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2盒</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42</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Peroxidase AffiniPure Rabbit Anti-mouse lgG+lgM (H+L)</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1 ml</w:t>
            </w:r>
          </w:p>
          <w:p>
            <w:pPr>
              <w:ind w:firstLine="0" w:firstLineChars="0"/>
              <w:rPr>
                <w:rFonts w:ascii="等线" w:hAnsi="等线" w:eastAsia="等线" w:cs="宋体"/>
                <w:color w:val="000000"/>
                <w:szCs w:val="24"/>
              </w:rPr>
            </w:pPr>
            <w:r>
              <w:rPr>
                <w:rFonts w:hint="eastAsia" w:ascii="仿宋" w:hAnsi="仿宋" w:cs="仿宋"/>
                <w:kern w:val="0"/>
                <w:szCs w:val="24"/>
              </w:rPr>
              <w:t>ICC/IF:1:5000,ELISA:1:1000,WB:1:10000，高特异性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43</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Peroxidase AffiniPure Goat Anti-Rabbit IgG (H+L)</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1.5 ml</w:t>
            </w:r>
          </w:p>
          <w:p>
            <w:pPr>
              <w:ind w:firstLine="0" w:firstLineChars="0"/>
              <w:rPr>
                <w:rFonts w:ascii="等线" w:hAnsi="等线" w:eastAsia="等线" w:cs="宋体"/>
                <w:color w:val="000000"/>
                <w:szCs w:val="24"/>
              </w:rPr>
            </w:pPr>
            <w:r>
              <w:rPr>
                <w:rFonts w:hint="eastAsia" w:ascii="仿宋" w:hAnsi="仿宋" w:cs="仿宋"/>
                <w:kern w:val="0"/>
                <w:szCs w:val="24"/>
              </w:rPr>
              <w:t>IHC:1:5000, ELISA 和WB(显色底物)1：100000 ,WB(ECL)1：200，000，高特异性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272"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44</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goat anti-rabbit IgG-horse- radish peroxidase conjugated</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2 mL</w:t>
            </w:r>
          </w:p>
          <w:p>
            <w:pPr>
              <w:ind w:firstLine="0" w:firstLineChars="0"/>
              <w:rPr>
                <w:rFonts w:ascii="等线" w:hAnsi="等线" w:eastAsia="等线" w:cs="宋体"/>
                <w:color w:val="000000"/>
                <w:szCs w:val="24"/>
              </w:rPr>
            </w:pPr>
            <w:r>
              <w:rPr>
                <w:rFonts w:hint="eastAsia" w:ascii="仿宋" w:hAnsi="仿宋" w:cs="仿宋"/>
                <w:kern w:val="0"/>
                <w:szCs w:val="24"/>
              </w:rPr>
              <w:t>WB:1:200000/ELISA:1:10000/IP:1:5000，高特异性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45</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goat anti-mouse IgG- horseradish peroxidase conjugated IgG</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2 mL</w:t>
            </w:r>
          </w:p>
          <w:p>
            <w:pPr>
              <w:ind w:firstLine="0" w:firstLineChars="0"/>
              <w:rPr>
                <w:rFonts w:ascii="等线" w:hAnsi="等线" w:eastAsia="等线" w:cs="宋体"/>
                <w:color w:val="000000"/>
                <w:szCs w:val="24"/>
              </w:rPr>
            </w:pPr>
            <w:r>
              <w:rPr>
                <w:rFonts w:hint="eastAsia" w:ascii="仿宋" w:hAnsi="仿宋" w:cs="仿宋"/>
                <w:kern w:val="0"/>
                <w:szCs w:val="24"/>
              </w:rPr>
              <w:t>WB:1:200000/ELISA:1:25000/IP:1:5000，高特异性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46</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anti-γH2AX Ser139</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等线" w:hAnsi="等线" w:eastAsia="等线" w:cs="宋体"/>
                <w:color w:val="000000"/>
                <w:szCs w:val="24"/>
              </w:rPr>
            </w:pPr>
            <w:r>
              <w:rPr>
                <w:rFonts w:hint="eastAsia" w:ascii="仿宋" w:hAnsi="仿宋" w:cs="仿宋"/>
                <w:kern w:val="0"/>
                <w:szCs w:val="24"/>
              </w:rPr>
              <w:t>WB:1:200000/ICC:1:500，高特异性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47</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AlexaFluor 594-labeled goat anti-mouse IgG</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1 mg</w:t>
            </w:r>
          </w:p>
          <w:p>
            <w:pPr>
              <w:ind w:firstLine="0" w:firstLineChars="0"/>
              <w:rPr>
                <w:rFonts w:ascii="等线" w:hAnsi="等线" w:eastAsia="等线" w:cs="宋体"/>
                <w:color w:val="000000"/>
                <w:szCs w:val="24"/>
              </w:rPr>
            </w:pPr>
            <w:r>
              <w:rPr>
                <w:rFonts w:hint="eastAsia" w:ascii="仿宋" w:hAnsi="仿宋" w:cs="仿宋"/>
                <w:kern w:val="0"/>
                <w:szCs w:val="24"/>
              </w:rPr>
              <w:t>FLOW:1：1000/ICC、IF:1:500，高特异性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7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48</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AlexaFluor 488-labeled chicken anti-rat IgG</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 xml:space="preserve">1 mg </w:t>
            </w:r>
          </w:p>
          <w:p>
            <w:pPr>
              <w:ind w:firstLine="0" w:firstLineChars="0"/>
              <w:rPr>
                <w:rFonts w:ascii="等线" w:hAnsi="等线" w:eastAsia="等线" w:cs="宋体"/>
                <w:color w:val="000000"/>
                <w:szCs w:val="24"/>
              </w:rPr>
            </w:pPr>
            <w:r>
              <w:rPr>
                <w:rFonts w:hint="eastAsia" w:ascii="仿宋" w:hAnsi="仿宋" w:cs="仿宋"/>
                <w:kern w:val="0"/>
                <w:szCs w:val="24"/>
              </w:rPr>
              <w:t>IHC1：100-1：1000/ICC:1:1000，高特异性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49</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Alexa Fluor 594 AffiniPure Goat Anti-Mouse IgG (H+L)</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0.5 ml</w:t>
            </w:r>
          </w:p>
          <w:p>
            <w:pPr>
              <w:ind w:firstLine="0" w:firstLineChars="0"/>
              <w:rPr>
                <w:rFonts w:ascii="等线" w:hAnsi="等线" w:eastAsia="等线" w:cs="宋体"/>
                <w:color w:val="000000"/>
                <w:szCs w:val="24"/>
              </w:rPr>
            </w:pPr>
            <w:r>
              <w:rPr>
                <w:rFonts w:hint="eastAsia" w:ascii="仿宋" w:hAnsi="仿宋" w:cs="仿宋"/>
                <w:kern w:val="0"/>
                <w:szCs w:val="24"/>
              </w:rPr>
              <w:t>1：800，高特异性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855"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50</w:t>
            </w:r>
          </w:p>
        </w:tc>
        <w:tc>
          <w:tcPr>
            <w:tcW w:w="1222" w:type="pct"/>
            <w:tcBorders>
              <w:top w:val="single" w:color="000000" w:sz="4" w:space="0"/>
              <w:left w:val="nil"/>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Alexa Fluor 488 AffiniPure Goat Anti-Rabbit lgG (H+L)</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 mg</w:t>
            </w:r>
          </w:p>
          <w:p>
            <w:pPr>
              <w:ind w:firstLine="0" w:firstLineChars="0"/>
              <w:rPr>
                <w:rFonts w:ascii="等线" w:hAnsi="等线" w:eastAsia="等线" w:cs="宋体"/>
                <w:color w:val="000000"/>
                <w:szCs w:val="24"/>
              </w:rPr>
            </w:pPr>
            <w:r>
              <w:rPr>
                <w:rFonts w:hint="eastAsia" w:ascii="仿宋" w:hAnsi="仿宋" w:cs="仿宋"/>
                <w:kern w:val="0"/>
                <w:szCs w:val="24"/>
              </w:rPr>
              <w:t>1：800，高特异性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仿宋" w:hAnsi="仿宋" w:cs="仿宋"/>
                <w:szCs w:val="24"/>
              </w:rPr>
            </w:pPr>
            <w:r>
              <w:rPr>
                <w:rFonts w:hint="eastAsia" w:ascii="仿宋" w:hAnsi="仿宋" w:cs="仿宋"/>
              </w:rPr>
              <w:t>1支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51</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萝卜硫素</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纯度大于99%，质谱级</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1g</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52</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血液分装管</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1.5ml/个、可冻存、无菌</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10盒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53</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培养皿</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Nunc</w:t>
            </w:r>
            <w:r>
              <w:rPr>
                <w:rFonts w:hint="eastAsia" w:ascii="宋体" w:hAnsi="宋体" w:eastAsia="宋体" w:cs="宋体"/>
                <w:sz w:val="22"/>
                <w:szCs w:val="22"/>
              </w:rPr>
              <w:t>™</w:t>
            </w:r>
            <w:r>
              <w:rPr>
                <w:rFonts w:hint="eastAsia"/>
                <w:sz w:val="22"/>
                <w:szCs w:val="22"/>
              </w:rPr>
              <w:t xml:space="preserve"> EasYDish</w:t>
            </w:r>
            <w:r>
              <w:rPr>
                <w:rFonts w:hint="eastAsia" w:ascii="宋体" w:hAnsi="宋体" w:eastAsia="宋体" w:cs="宋体"/>
                <w:sz w:val="22"/>
                <w:szCs w:val="22"/>
              </w:rPr>
              <w:t>™</w:t>
            </w:r>
            <w:r>
              <w:rPr>
                <w:rFonts w:hint="eastAsia"/>
                <w:sz w:val="22"/>
                <w:szCs w:val="22"/>
              </w:rPr>
              <w:t xml:space="preserve"> 培养皿、60mm直径</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2箱</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54</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小鼠</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 xml:space="preserve">健康野生型9周龄Brown Norway品系大鼠 10只；雄性 C57/BL6 野生型（Wild type, WT）30只小鼠（8-10 周，体重 20-30g）、Nrf2 基因敲除（Nrf2 -/-）30只小鼠（8-10 周，体重 20-30g）、Nrf2 基因过表达型（Nrf2 +/+）30只 小鼠（8-10 周，体重 20-30g） </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100只</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55</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RNA提取试剂盒</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 xml:space="preserve">可从0.5-30 mg 被OCT包埋组织中快速纯化高品质RNA,可以提取RNA且不受OCT包埋剂的影响。硅胶膜RNeasy离心柱的结合能力达100 </w:t>
            </w:r>
            <w:r>
              <w:rPr>
                <w:rFonts w:cs="Calibri"/>
                <w:sz w:val="22"/>
                <w:szCs w:val="22"/>
              </w:rPr>
              <w:t>μ</w:t>
            </w:r>
            <w:r>
              <w:rPr>
                <w:rFonts w:hint="eastAsia"/>
                <w:sz w:val="22"/>
                <w:szCs w:val="22"/>
              </w:rPr>
              <w:t>g RNA。使用RNAlater RNA Stabilization Reagent或Allprotect Tissue Reagent可方便的稳定组织样本,使用TissueRuptor或TissueLyser体系可有效的破碎组织。可在QIAcube全自动核酸纯化仪上应用实现RNA纯化自动化。提取后的RNA的A260/280比为1.9–2.1(10 mM Tris HCl、pH 7.5的溶液中)，能用于安捷伦2100生物分析仪用于RNA RIN值检测，且检测结果不影响组织质量。</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2盒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56</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磁珠</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5ml/支、Vazyme、N411-01/N411-02/N411-03。基于Solid Phase Reverse Immobilization原理，用于高通量测序文库构建中DNA纯化与片段大小分选。</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2支</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57</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中性树胶</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500g/瓶、生工、E675007-0100。封片用，用于将载玻片和盖玻片粘合在一起，把生物组织切片封起来长久保留。</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58</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二甲苯</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500mL/瓶。用于组织H&amp;E染色步骤的脱水透明。</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1瓶</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cs="仿宋"/>
                <w:kern w:val="0"/>
                <w:szCs w:val="24"/>
              </w:rPr>
            </w:pPr>
            <w:r>
              <w:rPr>
                <w:rFonts w:hint="eastAsia" w:ascii="仿宋" w:hAnsi="仿宋" w:cs="仿宋"/>
                <w:kern w:val="0"/>
                <w:szCs w:val="24"/>
              </w:rPr>
              <w:t>59</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安捷伦高灵敏度DNA分析试剂盒</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用于分子量介于100–7500bp之间的dsDNA片段的分离、分子量测定与定量分析。可用于300个样品的检测，试剂盒包括25个微流控芯片、试剂和消耗品。每个芯片样品数12个。定量范围0.5-50ng/µL。定量重现性100-1000 bp，10%CV；1000-7500bp，5%CV。片段大小测定准确度±10%。片段大小测定分辨率100-1000bp，5%；1000-7500bp，15%。片段大小测定重现性5%CV。</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cs="仿宋"/>
                <w:kern w:val="0"/>
                <w:szCs w:val="24"/>
              </w:rPr>
            </w:pPr>
            <w:r>
              <w:rPr>
                <w:rFonts w:hint="eastAsia" w:ascii="仿宋" w:hAnsi="仿宋" w:cs="仿宋"/>
                <w:kern w:val="0"/>
                <w:szCs w:val="24"/>
              </w:rPr>
              <w:t>60</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Qubit ssDNA Assay Kit</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用于转录组实验的荧光染色步骤，这一步染色目的是记录组织形貌以及用于后续数据分析图像配准。用于50 pg/µL至200 ng/µL的初始样品浓度的染色和检测，可提供1–200 ng的检测范围。试剂盒包括浓缩的检测试剂、稀释缓冲液和预稀释的DNA标准品。只需使用提供的缓冲液稀释试剂，稀释检测试剂，便可进行染色，染液可使用Qubit荧光计读取浓度。可以耐受常见的污染物，如盐、游离核苷酸、溶剂、洗涤剂或蛋白质等的干扰。</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cs="仿宋"/>
                <w:kern w:val="0"/>
                <w:szCs w:val="24"/>
              </w:rPr>
            </w:pPr>
            <w:r>
              <w:rPr>
                <w:rFonts w:hint="eastAsia" w:ascii="仿宋" w:hAnsi="仿宋" w:cs="仿宋"/>
                <w:kern w:val="0"/>
                <w:szCs w:val="24"/>
              </w:rPr>
              <w:t>61</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Qubit dsDNA HS Assay Kit</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对双链DNA(dsDNA)有高度的选择性，可以定量浓度为 10 pg/µl 到100 ng/µl的样品。试剂盒包括浓缩的分析试剂，稀释缓冲液和预制的DNA标准。只需用提供的缓冲液稀释试剂，添加样品(体积在 1 µL 到 20 µL 范围内), 然后使用Qubit® 2.0荧光仪读取浓度，便可得到cDNA浓度。该试剂盒对于常见污染物，如盐，游离的核苷酸，溶剂，去污剂，蛋白质的耐受性极好。</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1盒</w:t>
            </w:r>
          </w:p>
        </w:tc>
      </w:tr>
      <w:tr>
        <w:tblPrEx>
          <w:tblCellMar>
            <w:top w:w="0" w:type="dxa"/>
            <w:left w:w="108" w:type="dxa"/>
            <w:bottom w:w="0" w:type="dxa"/>
            <w:right w:w="108" w:type="dxa"/>
          </w:tblCellMar>
        </w:tblPrEx>
        <w:trPr>
          <w:trHeight w:val="540" w:hRule="atLeast"/>
        </w:trPr>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仿宋" w:hAnsi="仿宋" w:cs="仿宋"/>
                <w:kern w:val="0"/>
                <w:szCs w:val="24"/>
              </w:rPr>
            </w:pPr>
            <w:r>
              <w:rPr>
                <w:rFonts w:hint="eastAsia" w:ascii="仿宋" w:hAnsi="仿宋" w:cs="仿宋"/>
                <w:kern w:val="0"/>
                <w:szCs w:val="24"/>
              </w:rPr>
              <w:t>62</w:t>
            </w:r>
          </w:p>
        </w:tc>
        <w:tc>
          <w:tcPr>
            <w:tcW w:w="122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安捷伦高灵敏度RNA分析试剂盒</w:t>
            </w:r>
          </w:p>
        </w:tc>
        <w:tc>
          <w:tcPr>
            <w:tcW w:w="28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kern w:val="0"/>
                <w:szCs w:val="24"/>
              </w:rPr>
            </w:pPr>
            <w:r>
              <w:rPr>
                <w:rFonts w:hint="eastAsia"/>
                <w:sz w:val="22"/>
                <w:szCs w:val="22"/>
              </w:rPr>
              <w:t>用于浓度低至 50 pg/µL 总 RNA 或 250 pg/µL mRNA 的低丰度 RNA 样品分析。用于275个样品检测，包括 25 个芯片、试剂、分子量标准品与消耗品。能用于安捷伦2100生物分析仪用于RNA RIN值检测，且检测结果不受组织包埋影响。</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rPr>
                <w:rFonts w:ascii="宋体" w:hAnsi="宋体" w:eastAsia="宋体" w:cs="宋体"/>
                <w:sz w:val="22"/>
                <w:szCs w:val="22"/>
              </w:rPr>
            </w:pPr>
            <w:r>
              <w:rPr>
                <w:rFonts w:hint="eastAsia"/>
                <w:sz w:val="22"/>
                <w:szCs w:val="22"/>
              </w:rPr>
              <w:t>1盒</w:t>
            </w:r>
          </w:p>
        </w:tc>
      </w:tr>
    </w:tbl>
    <w:p>
      <w:pPr>
        <w:ind w:firstLine="482"/>
        <w:rPr>
          <w:rFonts w:ascii="仿宋" w:hAnsi="仿宋" w:cs="仿宋"/>
          <w:b/>
          <w:bCs/>
        </w:rPr>
      </w:pPr>
      <w:r>
        <w:rPr>
          <w:rFonts w:hint="eastAsia" w:ascii="仿宋" w:hAnsi="仿宋" w:cs="仿宋"/>
          <w:b/>
          <w:bCs/>
        </w:rPr>
        <w:br w:type="page"/>
      </w:r>
      <w:r>
        <w:rPr>
          <w:rFonts w:hint="eastAsia" w:ascii="仿宋" w:hAnsi="仿宋" w:cs="仿宋"/>
          <w:b/>
          <w:bCs/>
        </w:rPr>
        <w:t>D包  预算：30.84万元</w:t>
      </w:r>
    </w:p>
    <w:tbl>
      <w:tblPr>
        <w:tblStyle w:val="21"/>
        <w:tblW w:w="4996" w:type="pct"/>
        <w:tblInd w:w="0" w:type="dxa"/>
        <w:tblLayout w:type="autofit"/>
        <w:tblCellMar>
          <w:top w:w="0" w:type="dxa"/>
          <w:left w:w="108" w:type="dxa"/>
          <w:bottom w:w="0" w:type="dxa"/>
          <w:right w:w="108" w:type="dxa"/>
        </w:tblCellMar>
      </w:tblPr>
      <w:tblGrid>
        <w:gridCol w:w="1028"/>
        <w:gridCol w:w="4448"/>
        <w:gridCol w:w="2954"/>
        <w:gridCol w:w="1417"/>
      </w:tblGrid>
      <w:tr>
        <w:tblPrEx>
          <w:tblCellMar>
            <w:top w:w="0" w:type="dxa"/>
            <w:left w:w="108" w:type="dxa"/>
            <w:bottom w:w="0" w:type="dxa"/>
            <w:right w:w="108" w:type="dxa"/>
          </w:tblCellMar>
        </w:tblPrEx>
        <w:trPr>
          <w:trHeight w:val="72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b/>
                <w:bCs/>
                <w:szCs w:val="24"/>
              </w:rPr>
            </w:pPr>
            <w:r>
              <w:rPr>
                <w:rFonts w:hint="eastAsia" w:ascii="仿宋" w:hAnsi="仿宋" w:cs="仿宋"/>
                <w:b/>
                <w:bCs/>
                <w:kern w:val="0"/>
                <w:szCs w:val="24"/>
              </w:rPr>
              <w:t>序号</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试剂耗材名称</w:t>
            </w:r>
          </w:p>
        </w:tc>
        <w:tc>
          <w:tcPr>
            <w:tcW w:w="15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规格型号（参数）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b/>
                <w:bCs/>
                <w:szCs w:val="24"/>
              </w:rPr>
            </w:pPr>
            <w:r>
              <w:rPr>
                <w:rFonts w:hint="eastAsia" w:ascii="仿宋" w:hAnsi="仿宋" w:cs="仿宋"/>
                <w:b/>
                <w:bCs/>
                <w:kern w:val="0"/>
                <w:szCs w:val="24"/>
              </w:rPr>
              <w:t>数量</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澳洲胎牛血清</w:t>
            </w:r>
          </w:p>
        </w:tc>
        <w:tc>
          <w:tcPr>
            <w:tcW w:w="15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500ml FND500</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Anti-p53抗体[DO-1] - ChIP Grade</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ab1101-100ug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w:t>
            </w:r>
          </w:p>
        </w:tc>
        <w:tc>
          <w:tcPr>
            <w:tcW w:w="2272" w:type="pct"/>
            <w:tcBorders>
              <w:top w:val="nil"/>
              <w:left w:val="nil"/>
              <w:bottom w:val="nil"/>
              <w:right w:val="nil"/>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Lipofetamine 2000转染试剂</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11668019 1.5ml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彩虹预染蛋白marker</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26617 500ul*10</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4包</w:t>
            </w:r>
          </w:p>
        </w:tc>
      </w:tr>
      <w:tr>
        <w:tblPrEx>
          <w:tblCellMar>
            <w:top w:w="0" w:type="dxa"/>
            <w:left w:w="108" w:type="dxa"/>
            <w:bottom w:w="0" w:type="dxa"/>
            <w:right w:w="108" w:type="dxa"/>
          </w:tblCellMar>
        </w:tblPrEx>
        <w:trPr>
          <w:trHeight w:val="81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重组Anti-Proteasome subunit beta type 2/PSMB2抗体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ab166628 100ul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TUNEL法细胞凋亡检测试剂盒（绿色荧光）</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KTA2010 100t</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CD68 抗体 (KP1)</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SC-20060 200UG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MS-444（30mg）</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MCE</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1瓶30mg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InVivoMab anti-mouse PD-1</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BioXcell 5mg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3支5mg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10</w:t>
            </w:r>
          </w:p>
        </w:tc>
        <w:tc>
          <w:tcPr>
            <w:tcW w:w="2272" w:type="pct"/>
            <w:tcBorders>
              <w:top w:val="nil"/>
              <w:left w:val="nil"/>
              <w:bottom w:val="nil"/>
              <w:right w:val="nil"/>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InVivoMab anti-mouse PD-L1</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BioXcell 5mg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3支5mg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InVivoMab anti-mouse CTLA-4</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BioXcell 100mg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1支100mg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胎牛血清</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gibco</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2瓶500ml</w:t>
            </w:r>
          </w:p>
        </w:tc>
      </w:tr>
      <w:tr>
        <w:tblPrEx>
          <w:tblCellMar>
            <w:top w:w="0" w:type="dxa"/>
            <w:left w:w="108" w:type="dxa"/>
            <w:bottom w:w="0" w:type="dxa"/>
            <w:right w:w="108" w:type="dxa"/>
          </w:tblCellMar>
        </w:tblPrEx>
        <w:trPr>
          <w:trHeight w:val="81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True-Nuclear™ Transcription Factor Buffer Set</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120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1支120tests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PE anti-mouse/rat/human FOXP3</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APC anti-mouse CD25</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Ultra-LEAF™ Purified anti-human CD28</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Ultra-LEAF™ Purified anti-human CD3</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1支1mg</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Zombie Violet™ Fixable Viability Kit</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500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1支500tests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19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FITC anti-human CD4</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2支100tests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20</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PE anti-human CD279 (PD-1)</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2支100tests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APC anti-human CD8</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2支100tests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FITC anti-mouse CD4</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3支100tests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PE anti-mouse CD279 (PD-1)</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2支100tests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APC anti-mouse CD8</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100 tests</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3支100tests</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HuR病毒敲减</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吉凯基因</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1个</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Ficoll paque plus-6瓶</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Cytiva（CE Life）</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6瓶X100ml</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PAK4 抗体 (B-3)</w:t>
            </w:r>
          </w:p>
        </w:tc>
        <w:tc>
          <w:tcPr>
            <w:tcW w:w="15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santa</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HuR/ELAV1 抗体 (3A2)</w:t>
            </w:r>
          </w:p>
        </w:tc>
        <w:tc>
          <w:tcPr>
            <w:tcW w:w="15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santa</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29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肿瘤坏死因子a检测试剂盒</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优尔生（云克隆）</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1个</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30</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CMLD-2（50mg）</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 xml:space="preserve">MCE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firstLine="0" w:firstLineChars="0"/>
              <w:textAlignment w:val="bottom"/>
              <w:rPr>
                <w:rFonts w:ascii="仿宋" w:hAnsi="仿宋" w:cs="仿宋"/>
                <w:szCs w:val="24"/>
              </w:rPr>
            </w:pPr>
            <w:r>
              <w:rPr>
                <w:rFonts w:hint="eastAsia" w:ascii="仿宋" w:hAnsi="仿宋" w:cs="仿宋"/>
                <w:kern w:val="0"/>
                <w:szCs w:val="24"/>
              </w:rPr>
              <w:t>KH-3（50mg）</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ind w:firstLine="0" w:firstLineChars="0"/>
              <w:textAlignment w:val="bottom"/>
              <w:rPr>
                <w:rFonts w:ascii="仿宋" w:hAnsi="仿宋" w:cs="仿宋"/>
                <w:szCs w:val="24"/>
              </w:rPr>
            </w:pPr>
            <w:r>
              <w:rPr>
                <w:rFonts w:hint="eastAsia" w:ascii="仿宋" w:hAnsi="仿宋" w:cs="仿宋"/>
                <w:kern w:val="0"/>
                <w:szCs w:val="24"/>
              </w:rPr>
              <w:t xml:space="preserve">MCE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0"/>
              </w:rPr>
            </w:pPr>
            <w:r>
              <w:rPr>
                <w:rFonts w:hint="eastAsia" w:ascii="仿宋" w:hAnsi="仿宋" w:cs="仿宋"/>
                <w:sz w:val="20"/>
              </w:rPr>
              <w:t>1支</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32</w:t>
            </w:r>
          </w:p>
        </w:tc>
        <w:tc>
          <w:tcPr>
            <w:tcW w:w="2272" w:type="pct"/>
            <w:tcBorders>
              <w:top w:val="nil"/>
              <w:left w:val="nil"/>
              <w:bottom w:val="nil"/>
              <w:right w:val="nil"/>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Anti -c-kit Rabbit pAb</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rPr>
                <w:rFonts w:ascii="仿宋" w:hAnsi="仿宋" w:cs="仿宋"/>
                <w:szCs w:val="24"/>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accudrop荧光校准微球</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rPr>
                <w:rFonts w:ascii="仿宋" w:hAnsi="仿宋" w:cs="仿宋"/>
                <w:szCs w:val="24"/>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PLCγ单克隆抗体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35</w:t>
            </w:r>
          </w:p>
        </w:tc>
        <w:tc>
          <w:tcPr>
            <w:tcW w:w="2272" w:type="pct"/>
            <w:tcBorders>
              <w:top w:val="nil"/>
              <w:left w:val="nil"/>
              <w:bottom w:val="nil"/>
              <w:right w:val="nil"/>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Anti-IP3 receptor抗体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重组Anti-DAG1抗体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Anti-PKC alpha抗体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Anti-Cam抗体</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39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 xml:space="preserve">PE anti-mouse CD117 (c-kit) </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rPr>
                <w:rFonts w:ascii="仿宋" w:hAnsi="仿宋" w:cs="仿宋"/>
                <w:szCs w:val="24"/>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40</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PLCγ 抑制剂</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100mg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大鼠一氧化氮(NO)ELISA酶联免疫试剂盒</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1盒</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大鼠内皮型一氧化氮合成酶 eNOS ELISA试剂盒</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rPr>
                <w:rFonts w:ascii="仿宋" w:hAnsi="仿宋" w:cs="仿宋"/>
                <w:szCs w:val="24"/>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trizol试剂</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200ml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八连排</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盒</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5×蛋白上样缓冲液（还原型）</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瓶</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3瓶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10% PAGE彩色(红色)凝胶超快速配制试剂盒</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盒</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研磨珠（钢）</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瓶</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BCA蛋白浓度测定试剂盒BSA</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盒</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3盒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49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 xml:space="preserve">Western一抗二抗去除液(强碱性) </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瓶</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4瓶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50</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 xml:space="preserve">RIPA裂解液(强) </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瓶</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4瓶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蛋白酶磷酸酶抑制剂混合物(通用型 , 50X)</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rPr>
                <w:rFonts w:ascii="仿宋" w:hAnsi="仿宋" w:cs="仿宋"/>
                <w:szCs w:val="24"/>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4盒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Affinity 预染蛋白分子量标准 (10-180KD)</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250ul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TBS缓冲液（干粉）</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袋</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100袋</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PBS缓冲液（干粉）</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袋</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100袋</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电泳缓冲液（干粉）</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袋</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100袋</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Tween-20 吐温-20</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szCs w:val="24"/>
              </w:rPr>
            </w:pPr>
            <w:r>
              <w:rPr>
                <w:rFonts w:hint="eastAsia" w:ascii="仿宋" w:hAnsi="仿宋" w:cs="仿宋"/>
                <w:kern w:val="0"/>
                <w:szCs w:val="24"/>
              </w:rPr>
              <w:t>瓶</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2×Universal Blue SYBR Green qPCR Master Mix</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10盒</w:t>
            </w:r>
          </w:p>
        </w:tc>
      </w:tr>
      <w:tr>
        <w:tblPrEx>
          <w:tblCellMar>
            <w:top w:w="0" w:type="dxa"/>
            <w:left w:w="108" w:type="dxa"/>
            <w:bottom w:w="0" w:type="dxa"/>
            <w:right w:w="108" w:type="dxa"/>
          </w:tblCellMar>
        </w:tblPrEx>
        <w:trPr>
          <w:trHeight w:val="108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SweScript All-in-One RT SuperMix for qPCR (One-Step gDNA Remover)</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25T</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59</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mRNA 引物合成</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30对</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60</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PVDF膜</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61</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DEPC水</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2瓶</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62</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玻璃板套装（适用于伯乐）</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20套</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63</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电泳梳子</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20个</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64</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研磨管</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200ug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10包</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65</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离心管</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100mg</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20包</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66</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96孔细胞培养板</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1盒</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67</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橡胶手套</w:t>
            </w:r>
          </w:p>
        </w:tc>
        <w:tc>
          <w:tcPr>
            <w:tcW w:w="1513" w:type="pct"/>
            <w:tcBorders>
              <w:top w:val="nil"/>
              <w:left w:val="nil"/>
              <w:bottom w:val="nil"/>
              <w:right w:val="nil"/>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盒</w:t>
            </w:r>
          </w:p>
        </w:tc>
        <w:tc>
          <w:tcPr>
            <w:tcW w:w="680" w:type="pct"/>
            <w:tcBorders>
              <w:top w:val="nil"/>
              <w:left w:val="single" w:color="000000" w:sz="4" w:space="0"/>
              <w:bottom w:val="nil"/>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20盒</w:t>
            </w:r>
          </w:p>
        </w:tc>
      </w:tr>
      <w:tr>
        <w:tblPrEx>
          <w:tblCellMar>
            <w:top w:w="0" w:type="dxa"/>
            <w:left w:w="108" w:type="dxa"/>
            <w:bottom w:w="0" w:type="dxa"/>
            <w:right w:w="108" w:type="dxa"/>
          </w:tblCellMar>
        </w:tblPrEx>
        <w:trPr>
          <w:trHeight w:val="5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szCs w:val="24"/>
              </w:rPr>
            </w:pPr>
            <w:r>
              <w:rPr>
                <w:rFonts w:hint="eastAsia" w:ascii="仿宋" w:hAnsi="仿宋" w:cs="仿宋"/>
                <w:kern w:val="0"/>
                <w:szCs w:val="24"/>
              </w:rPr>
              <w:t>68</w:t>
            </w:r>
          </w:p>
        </w:tc>
        <w:tc>
          <w:tcPr>
            <w:tcW w:w="22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szCs w:val="24"/>
              </w:rPr>
            </w:pPr>
            <w:r>
              <w:rPr>
                <w:rFonts w:hint="eastAsia" w:ascii="仿宋" w:hAnsi="仿宋" w:cs="仿宋"/>
                <w:kern w:val="0"/>
                <w:szCs w:val="24"/>
              </w:rPr>
              <w:t>研磨珠（PCR用）</w:t>
            </w:r>
          </w:p>
        </w:tc>
        <w:tc>
          <w:tcPr>
            <w:tcW w:w="1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200ml</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0" w:firstLineChars="0"/>
              <w:rPr>
                <w:rFonts w:ascii="仿宋" w:hAnsi="仿宋" w:cs="仿宋"/>
                <w:sz w:val="22"/>
                <w:szCs w:val="22"/>
              </w:rPr>
            </w:pPr>
            <w:r>
              <w:rPr>
                <w:rFonts w:hint="eastAsia" w:ascii="仿宋" w:hAnsi="仿宋" w:cs="仿宋"/>
                <w:sz w:val="22"/>
                <w:szCs w:val="22"/>
              </w:rPr>
              <w:t>2瓶</w:t>
            </w:r>
          </w:p>
        </w:tc>
      </w:tr>
    </w:tbl>
    <w:p>
      <w:pPr>
        <w:pStyle w:val="2"/>
        <w:ind w:left="480" w:firstLine="482"/>
        <w:rPr>
          <w:rFonts w:ascii="仿宋" w:hAnsi="仿宋" w:cs="仿宋"/>
        </w:rPr>
      </w:pPr>
      <w:r>
        <w:rPr>
          <w:rFonts w:hint="eastAsia" w:ascii="仿宋" w:hAnsi="仿宋" w:cs="仿宋"/>
          <w:b/>
          <w:bCs/>
        </w:rPr>
        <w:br w:type="page"/>
      </w:r>
    </w:p>
    <w:p>
      <w:pPr>
        <w:ind w:firstLine="0" w:firstLineChars="0"/>
        <w:rPr>
          <w:rFonts w:ascii="仿宋" w:hAnsi="仿宋" w:cs="仿宋"/>
          <w:b/>
          <w:bCs/>
        </w:rPr>
      </w:pPr>
      <w:r>
        <w:rPr>
          <w:rFonts w:hint="eastAsia" w:ascii="仿宋" w:hAnsi="仿宋" w:cs="仿宋"/>
          <w:b/>
          <w:bCs/>
        </w:rPr>
        <w:t>售后服务保障</w:t>
      </w:r>
    </w:p>
    <w:p>
      <w:pPr>
        <w:ind w:firstLine="480"/>
        <w:rPr>
          <w:rFonts w:ascii="仿宋" w:hAnsi="仿宋" w:cs="仿宋"/>
        </w:rPr>
      </w:pPr>
      <w:r>
        <w:rPr>
          <w:rFonts w:hint="eastAsia" w:ascii="仿宋" w:hAnsi="仿宋" w:cs="仿宋"/>
        </w:rPr>
        <w:t>1、随机附带快速操作流程（纸质压膜）2套。</w:t>
      </w:r>
    </w:p>
    <w:p>
      <w:pPr>
        <w:pStyle w:val="2"/>
        <w:ind w:left="0" w:leftChars="0" w:firstLine="480"/>
        <w:rPr>
          <w:rFonts w:ascii="仿宋" w:hAnsi="仿宋" w:cs="仿宋"/>
        </w:rPr>
      </w:pPr>
      <w:r>
        <w:rPr>
          <w:rFonts w:hint="eastAsia" w:ascii="仿宋" w:hAnsi="仿宋" w:cs="仿宋"/>
          <w:szCs w:val="24"/>
        </w:rPr>
        <w:t>2、交货期：自行填写（或按甲方要求）。</w:t>
      </w:r>
    </w:p>
    <w:p>
      <w:pPr>
        <w:ind w:firstLine="480"/>
        <w:rPr>
          <w:rFonts w:ascii="仿宋" w:hAnsi="仿宋" w:cs="仿宋"/>
        </w:rPr>
      </w:pPr>
      <w:r>
        <w:rPr>
          <w:rFonts w:hint="eastAsia" w:ascii="仿宋" w:hAnsi="仿宋" w:cs="仿宋"/>
        </w:rPr>
        <w:t>3、交货地点：严格按照国家相关要求的运输方式送到用户指定地点。</w:t>
      </w:r>
    </w:p>
    <w:p>
      <w:pPr>
        <w:pStyle w:val="2"/>
        <w:widowControl/>
        <w:ind w:left="0" w:leftChars="0" w:firstLine="480"/>
        <w:rPr>
          <w:rFonts w:ascii="仿宋" w:hAnsi="仿宋" w:cs="仿宋"/>
          <w:szCs w:val="24"/>
        </w:rPr>
      </w:pPr>
      <w:r>
        <w:rPr>
          <w:rFonts w:hint="eastAsia" w:ascii="仿宋" w:hAnsi="仿宋" w:cs="仿宋"/>
          <w:szCs w:val="24"/>
        </w:rPr>
        <w:t>4、质量保证期：到货后验收发现外箱破损或受潮、污染的，供应商须免费更换此产品。如产品出现问题用户通知卖方后应在24小时内答复，并尽快解决问题。</w:t>
      </w:r>
    </w:p>
    <w:p>
      <w:pPr>
        <w:pStyle w:val="2"/>
        <w:widowControl/>
        <w:ind w:left="0" w:leftChars="0" w:firstLine="480"/>
        <w:rPr>
          <w:rFonts w:ascii="仿宋" w:hAnsi="仿宋" w:cs="仿宋"/>
          <w:szCs w:val="24"/>
        </w:rPr>
      </w:pPr>
      <w:r>
        <w:rPr>
          <w:rFonts w:hint="eastAsia" w:ascii="仿宋" w:hAnsi="仿宋" w:cs="仿宋"/>
          <w:szCs w:val="24"/>
        </w:rPr>
        <w:t>5、供货地点：所有产品的供货、安装地点均由用户指定。</w:t>
      </w:r>
    </w:p>
    <w:p>
      <w:pPr>
        <w:pStyle w:val="2"/>
        <w:widowControl/>
        <w:ind w:left="0" w:leftChars="0" w:firstLine="480"/>
        <w:rPr>
          <w:rFonts w:ascii="仿宋" w:hAnsi="仿宋" w:cs="仿宋"/>
        </w:rPr>
      </w:pPr>
      <w:r>
        <w:rPr>
          <w:rFonts w:hint="eastAsia" w:ascii="仿宋" w:hAnsi="仿宋" w:cs="仿宋"/>
          <w:szCs w:val="24"/>
        </w:rPr>
        <w:t>6、报价需逐条报价，不得有空项。</w:t>
      </w:r>
    </w:p>
    <w:p>
      <w:pPr>
        <w:pStyle w:val="2"/>
        <w:ind w:left="0" w:leftChars="0" w:firstLine="480"/>
        <w:rPr>
          <w:rFonts w:ascii="仿宋" w:hAnsi="仿宋" w:cs="仿宋"/>
        </w:rPr>
      </w:pPr>
      <w:r>
        <w:rPr>
          <w:rFonts w:hint="eastAsia" w:ascii="仿宋" w:hAnsi="仿宋" w:cs="仿宋"/>
        </w:rPr>
        <w:t>7、付款方式：</w:t>
      </w:r>
    </w:p>
    <w:p>
      <w:pPr>
        <w:pStyle w:val="2"/>
        <w:ind w:left="0" w:leftChars="0" w:firstLine="480"/>
        <w:rPr>
          <w:rFonts w:ascii="仿宋" w:hAnsi="仿宋" w:cs="仿宋"/>
        </w:rPr>
      </w:pPr>
      <w:r>
        <w:rPr>
          <w:rFonts w:hint="eastAsia" w:ascii="仿宋" w:hAnsi="仿宋" w:cs="仿宋"/>
        </w:rPr>
        <w:t>中标后合同签订后中标人向采购人指定账户缴纳合同金额5%的履约保证金。在合同签订生效且具备实施条件后，中标人向项目负责人或指定人申请合同金额70%的预付款，采购人确定后7个工作日内支付。货物验收合格、审计定案（若需要）后7个工作日内，支付剩余合同货款。</w:t>
      </w:r>
    </w:p>
    <w:p>
      <w:pPr>
        <w:pStyle w:val="2"/>
        <w:ind w:left="0" w:leftChars="0" w:firstLine="480"/>
        <w:rPr>
          <w:rFonts w:ascii="仿宋" w:hAnsi="仿宋" w:cs="仿宋"/>
        </w:rPr>
      </w:pPr>
      <w:r>
        <w:rPr>
          <w:rFonts w:hint="eastAsia" w:ascii="仿宋" w:hAnsi="仿宋" w:cs="仿宋"/>
        </w:rPr>
        <w:t>8、1）履约保证金提交形式：电汇形式、银行汇票、履约保函</w:t>
      </w:r>
    </w:p>
    <w:p>
      <w:pPr>
        <w:ind w:firstLine="480"/>
        <w:rPr>
          <w:rFonts w:ascii="仿宋" w:hAnsi="仿宋" w:cs="仿宋"/>
        </w:rPr>
      </w:pPr>
      <w:r>
        <w:rPr>
          <w:rFonts w:hint="eastAsia" w:ascii="仿宋" w:hAnsi="仿宋" w:cs="仿宋"/>
        </w:rPr>
        <w:t>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
        <w:ind w:left="0" w:leftChars="0" w:firstLine="480"/>
        <w:rPr>
          <w:rFonts w:ascii="仿宋" w:hAnsi="仿宋" w:cs="仿宋"/>
        </w:rPr>
      </w:pPr>
      <w:r>
        <w:rPr>
          <w:rFonts w:hint="eastAsia" w:ascii="仿宋" w:hAnsi="仿宋" w:cs="仿宋"/>
        </w:rPr>
        <w:t>3）增值税发票开具信息：</w:t>
      </w:r>
    </w:p>
    <w:p>
      <w:pPr>
        <w:pStyle w:val="2"/>
        <w:ind w:left="0" w:leftChars="0" w:firstLine="480"/>
        <w:rPr>
          <w:rFonts w:ascii="仿宋" w:hAnsi="仿宋" w:cs="仿宋"/>
        </w:rPr>
      </w:pPr>
      <w:r>
        <w:rPr>
          <w:rFonts w:hint="eastAsia" w:ascii="仿宋" w:hAnsi="仿宋" w:cs="仿宋"/>
        </w:rPr>
        <w:t>名  称：山东第一医科大学 </w:t>
      </w:r>
    </w:p>
    <w:p>
      <w:pPr>
        <w:pStyle w:val="2"/>
        <w:ind w:left="0" w:leftChars="0" w:firstLine="480"/>
        <w:rPr>
          <w:rFonts w:ascii="仿宋" w:hAnsi="仿宋" w:cs="仿宋"/>
        </w:rPr>
      </w:pPr>
      <w:r>
        <w:rPr>
          <w:rFonts w:hint="eastAsia" w:ascii="仿宋" w:hAnsi="仿宋" w:cs="仿宋"/>
        </w:rPr>
        <w:t>识别号：12370000MB2865235G</w:t>
      </w:r>
    </w:p>
    <w:p>
      <w:pPr>
        <w:pStyle w:val="2"/>
        <w:ind w:left="0" w:leftChars="0" w:firstLine="480"/>
        <w:rPr>
          <w:rFonts w:ascii="仿宋" w:hAnsi="仿宋" w:cs="仿宋"/>
        </w:rPr>
      </w:pPr>
      <w:r>
        <w:rPr>
          <w:rFonts w:hint="eastAsia" w:ascii="仿宋" w:hAnsi="仿宋" w:cs="仿宋"/>
        </w:rPr>
        <w:t>地  址：济南市槐荫区青岛路6699号</w:t>
      </w:r>
    </w:p>
    <w:p>
      <w:pPr>
        <w:pStyle w:val="2"/>
        <w:ind w:left="0" w:leftChars="0" w:firstLine="480"/>
        <w:rPr>
          <w:rFonts w:ascii="仿宋" w:hAnsi="仿宋" w:cs="仿宋"/>
        </w:rPr>
      </w:pPr>
      <w:r>
        <w:rPr>
          <w:rFonts w:hint="eastAsia" w:ascii="仿宋" w:hAnsi="仿宋" w:cs="仿宋"/>
        </w:rPr>
        <w:t>电  话：0538-6229987</w:t>
      </w:r>
    </w:p>
    <w:p>
      <w:pPr>
        <w:pStyle w:val="2"/>
        <w:ind w:left="0" w:leftChars="0" w:firstLine="480"/>
        <w:rPr>
          <w:rFonts w:ascii="仿宋" w:hAnsi="仿宋" w:cs="仿宋"/>
        </w:rPr>
      </w:pPr>
      <w:r>
        <w:rPr>
          <w:rFonts w:hint="eastAsia" w:ascii="仿宋" w:hAnsi="仿宋" w:cs="仿宋"/>
        </w:rPr>
        <w:t>账户名称：山东第一医科大学</w:t>
      </w:r>
    </w:p>
    <w:p>
      <w:pPr>
        <w:pStyle w:val="2"/>
        <w:ind w:left="0" w:leftChars="0" w:firstLine="480"/>
        <w:rPr>
          <w:rFonts w:ascii="仿宋" w:hAnsi="仿宋" w:cs="仿宋"/>
        </w:rPr>
      </w:pPr>
      <w:r>
        <w:rPr>
          <w:rFonts w:hint="eastAsia" w:ascii="仿宋" w:hAnsi="仿宋" w:cs="仿宋"/>
        </w:rPr>
        <w:t>账  号：15518501040000160</w:t>
      </w:r>
    </w:p>
    <w:p>
      <w:pPr>
        <w:pStyle w:val="2"/>
        <w:ind w:left="0" w:leftChars="0" w:firstLine="480"/>
        <w:rPr>
          <w:rFonts w:ascii="仿宋" w:hAnsi="仿宋" w:cs="仿宋"/>
        </w:rPr>
      </w:pPr>
      <w:r>
        <w:rPr>
          <w:rFonts w:hint="eastAsia" w:ascii="仿宋" w:hAnsi="仿宋" w:cs="仿宋"/>
        </w:rPr>
        <w:t>开户行：中国农业银行股份有限公司泰安旅游开发区分理处</w:t>
      </w:r>
    </w:p>
    <w:p>
      <w:pPr>
        <w:pStyle w:val="2"/>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rPr>
        <w:t>9、若有其他优惠请自报。</w:t>
      </w:r>
    </w:p>
    <w:p>
      <w:pPr>
        <w:pStyle w:val="2"/>
        <w:ind w:left="480" w:firstLine="480"/>
        <w:rPr>
          <w:rFonts w:ascii="仿宋" w:hAnsi="仿宋" w:cs="仿宋"/>
        </w:rPr>
      </w:pPr>
    </w:p>
    <w:p>
      <w:pPr>
        <w:pStyle w:val="42"/>
        <w:spacing w:line="360" w:lineRule="auto"/>
        <w:ind w:firstLine="560"/>
        <w:rPr>
          <w:rFonts w:ascii="仿宋" w:hAnsi="仿宋" w:eastAsia="仿宋" w:cs="仿宋"/>
          <w:bCs/>
          <w:color w:val="auto"/>
          <w:sz w:val="28"/>
          <w:szCs w:val="28"/>
        </w:rPr>
      </w:pPr>
    </w:p>
    <w:sectPr>
      <w:headerReference r:id="rId11" w:type="default"/>
      <w:footerReference r:id="rId12" w:type="default"/>
      <w:pgSz w:w="11906" w:h="16838"/>
      <w:pgMar w:top="1020" w:right="991" w:bottom="1440" w:left="1276"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left"/>
      <w:rPr>
        <w:rFonts w:hint="eastAsia" w:eastAsia="仿宋"/>
        <w:lang w:eastAsia="zh-CN"/>
      </w:rPr>
    </w:pPr>
    <w:r>
      <w:rPr>
        <w:rFonts w:hint="eastAsia"/>
      </w:rPr>
      <w:t>山东第一医科大学（山东省医学科学院）</w:t>
    </w:r>
    <w:r>
      <w:rPr>
        <w:rFonts w:hint="eastAsia"/>
        <w:lang w:eastAsia="zh-CN"/>
      </w:rPr>
      <w:t>科教融合一附院高水平成果资助试剂耗材采购三（134）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FiMDk2MDg5NThiZDZlNjBmOTE2YTZiNmNjYWI5ZGMifQ=="/>
  </w:docVars>
  <w:rsids>
    <w:rsidRoot w:val="00CB2D3F"/>
    <w:rsid w:val="0000181F"/>
    <w:rsid w:val="00002441"/>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23886"/>
    <w:rsid w:val="0014134D"/>
    <w:rsid w:val="00143108"/>
    <w:rsid w:val="00144773"/>
    <w:rsid w:val="00151BA6"/>
    <w:rsid w:val="00155C4D"/>
    <w:rsid w:val="00156FAF"/>
    <w:rsid w:val="0016015C"/>
    <w:rsid w:val="00162A6E"/>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31DE8"/>
    <w:rsid w:val="00240CD2"/>
    <w:rsid w:val="0024619D"/>
    <w:rsid w:val="0025330C"/>
    <w:rsid w:val="00261460"/>
    <w:rsid w:val="00270D19"/>
    <w:rsid w:val="002726A7"/>
    <w:rsid w:val="00282FA7"/>
    <w:rsid w:val="002858F0"/>
    <w:rsid w:val="002879DD"/>
    <w:rsid w:val="00293254"/>
    <w:rsid w:val="00295DD6"/>
    <w:rsid w:val="002A189E"/>
    <w:rsid w:val="002D1C23"/>
    <w:rsid w:val="002D33D1"/>
    <w:rsid w:val="002D3DC7"/>
    <w:rsid w:val="002D5569"/>
    <w:rsid w:val="002D771D"/>
    <w:rsid w:val="002E0015"/>
    <w:rsid w:val="002E79D0"/>
    <w:rsid w:val="002F0EB2"/>
    <w:rsid w:val="002F25AE"/>
    <w:rsid w:val="002F4AB8"/>
    <w:rsid w:val="00302A8E"/>
    <w:rsid w:val="00310BE7"/>
    <w:rsid w:val="00312AC4"/>
    <w:rsid w:val="0032163D"/>
    <w:rsid w:val="003222C1"/>
    <w:rsid w:val="003379D7"/>
    <w:rsid w:val="00340BDC"/>
    <w:rsid w:val="00342FBF"/>
    <w:rsid w:val="003511E5"/>
    <w:rsid w:val="00357EE0"/>
    <w:rsid w:val="003619D0"/>
    <w:rsid w:val="00373658"/>
    <w:rsid w:val="00384011"/>
    <w:rsid w:val="003840DF"/>
    <w:rsid w:val="003915FD"/>
    <w:rsid w:val="00393E26"/>
    <w:rsid w:val="003C2E70"/>
    <w:rsid w:val="003C6602"/>
    <w:rsid w:val="003D2027"/>
    <w:rsid w:val="003F17EC"/>
    <w:rsid w:val="003F5203"/>
    <w:rsid w:val="00421AFA"/>
    <w:rsid w:val="00421F0D"/>
    <w:rsid w:val="00433EE6"/>
    <w:rsid w:val="00451A84"/>
    <w:rsid w:val="00452D48"/>
    <w:rsid w:val="0046696E"/>
    <w:rsid w:val="004A38B8"/>
    <w:rsid w:val="004A4D9F"/>
    <w:rsid w:val="004B1ABB"/>
    <w:rsid w:val="004B32CC"/>
    <w:rsid w:val="004B555A"/>
    <w:rsid w:val="004B6E14"/>
    <w:rsid w:val="004C13FD"/>
    <w:rsid w:val="004D081B"/>
    <w:rsid w:val="004D7DF5"/>
    <w:rsid w:val="004E2AE6"/>
    <w:rsid w:val="004E4922"/>
    <w:rsid w:val="00515839"/>
    <w:rsid w:val="00515929"/>
    <w:rsid w:val="00532214"/>
    <w:rsid w:val="005419ED"/>
    <w:rsid w:val="00543263"/>
    <w:rsid w:val="0054458D"/>
    <w:rsid w:val="005579ED"/>
    <w:rsid w:val="005627C4"/>
    <w:rsid w:val="005662C6"/>
    <w:rsid w:val="005B101C"/>
    <w:rsid w:val="005B55DA"/>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6326D"/>
    <w:rsid w:val="00670649"/>
    <w:rsid w:val="006869C9"/>
    <w:rsid w:val="006B0002"/>
    <w:rsid w:val="006D1298"/>
    <w:rsid w:val="006E1E8B"/>
    <w:rsid w:val="00705333"/>
    <w:rsid w:val="0071539D"/>
    <w:rsid w:val="00720952"/>
    <w:rsid w:val="00724F1E"/>
    <w:rsid w:val="00742049"/>
    <w:rsid w:val="007507A3"/>
    <w:rsid w:val="0075187B"/>
    <w:rsid w:val="00763F4F"/>
    <w:rsid w:val="00765781"/>
    <w:rsid w:val="007870C1"/>
    <w:rsid w:val="007A5423"/>
    <w:rsid w:val="007A60E2"/>
    <w:rsid w:val="007B27E6"/>
    <w:rsid w:val="007C1BC0"/>
    <w:rsid w:val="007D10BD"/>
    <w:rsid w:val="007D4D2B"/>
    <w:rsid w:val="0080243C"/>
    <w:rsid w:val="00813C44"/>
    <w:rsid w:val="00814AFF"/>
    <w:rsid w:val="008162F1"/>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40D9"/>
    <w:rsid w:val="008C5025"/>
    <w:rsid w:val="008E07AD"/>
    <w:rsid w:val="008E3F32"/>
    <w:rsid w:val="008E4523"/>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4AD3"/>
    <w:rsid w:val="00997E08"/>
    <w:rsid w:val="009A3532"/>
    <w:rsid w:val="009A3A03"/>
    <w:rsid w:val="009D1E92"/>
    <w:rsid w:val="009D25A9"/>
    <w:rsid w:val="009D2D36"/>
    <w:rsid w:val="009E3CDA"/>
    <w:rsid w:val="009E4949"/>
    <w:rsid w:val="009E4A81"/>
    <w:rsid w:val="009F5F63"/>
    <w:rsid w:val="009F66DE"/>
    <w:rsid w:val="00A23CF1"/>
    <w:rsid w:val="00A269E5"/>
    <w:rsid w:val="00A30FE3"/>
    <w:rsid w:val="00A3762D"/>
    <w:rsid w:val="00A37E96"/>
    <w:rsid w:val="00A42970"/>
    <w:rsid w:val="00A43A23"/>
    <w:rsid w:val="00A4642C"/>
    <w:rsid w:val="00A66ED0"/>
    <w:rsid w:val="00AA6E66"/>
    <w:rsid w:val="00AB1184"/>
    <w:rsid w:val="00AC489E"/>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194A"/>
    <w:rsid w:val="00B744C4"/>
    <w:rsid w:val="00B83AC1"/>
    <w:rsid w:val="00B86EAC"/>
    <w:rsid w:val="00B9728E"/>
    <w:rsid w:val="00BA168F"/>
    <w:rsid w:val="00BA4403"/>
    <w:rsid w:val="00BB6977"/>
    <w:rsid w:val="00BC0415"/>
    <w:rsid w:val="00BC1189"/>
    <w:rsid w:val="00BD0FC2"/>
    <w:rsid w:val="00BE3662"/>
    <w:rsid w:val="00BE490F"/>
    <w:rsid w:val="00BF7923"/>
    <w:rsid w:val="00C06EC2"/>
    <w:rsid w:val="00C07D2C"/>
    <w:rsid w:val="00C14C3F"/>
    <w:rsid w:val="00C15E21"/>
    <w:rsid w:val="00C21AD0"/>
    <w:rsid w:val="00C25589"/>
    <w:rsid w:val="00C35A17"/>
    <w:rsid w:val="00C437C7"/>
    <w:rsid w:val="00C45067"/>
    <w:rsid w:val="00C613D9"/>
    <w:rsid w:val="00C74B1B"/>
    <w:rsid w:val="00C75BE3"/>
    <w:rsid w:val="00C75CC3"/>
    <w:rsid w:val="00C85AA1"/>
    <w:rsid w:val="00C87CBC"/>
    <w:rsid w:val="00C95039"/>
    <w:rsid w:val="00CA7096"/>
    <w:rsid w:val="00CB2D3F"/>
    <w:rsid w:val="00CD1EC0"/>
    <w:rsid w:val="00CF12E5"/>
    <w:rsid w:val="00D0471C"/>
    <w:rsid w:val="00D14F45"/>
    <w:rsid w:val="00D21CF9"/>
    <w:rsid w:val="00D22C42"/>
    <w:rsid w:val="00D32A99"/>
    <w:rsid w:val="00D33D34"/>
    <w:rsid w:val="00D3407D"/>
    <w:rsid w:val="00D3539C"/>
    <w:rsid w:val="00D45E67"/>
    <w:rsid w:val="00D50A16"/>
    <w:rsid w:val="00D60CBD"/>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75019"/>
    <w:rsid w:val="00E816A0"/>
    <w:rsid w:val="00E87A9E"/>
    <w:rsid w:val="00E90607"/>
    <w:rsid w:val="00EA2324"/>
    <w:rsid w:val="00EA47CC"/>
    <w:rsid w:val="00EB683C"/>
    <w:rsid w:val="00ED02D1"/>
    <w:rsid w:val="00EE315F"/>
    <w:rsid w:val="00F070A8"/>
    <w:rsid w:val="00F13F3B"/>
    <w:rsid w:val="00F36DF2"/>
    <w:rsid w:val="00F5354D"/>
    <w:rsid w:val="00F65175"/>
    <w:rsid w:val="00F749DE"/>
    <w:rsid w:val="00F845C5"/>
    <w:rsid w:val="00F921EE"/>
    <w:rsid w:val="00F93178"/>
    <w:rsid w:val="00FB4781"/>
    <w:rsid w:val="00FB6079"/>
    <w:rsid w:val="00FB74C3"/>
    <w:rsid w:val="00FB7BC3"/>
    <w:rsid w:val="00FD4581"/>
    <w:rsid w:val="00FE4DBD"/>
    <w:rsid w:val="00FE5C96"/>
    <w:rsid w:val="00FF499F"/>
    <w:rsid w:val="00FF7406"/>
    <w:rsid w:val="022A14F4"/>
    <w:rsid w:val="075637DD"/>
    <w:rsid w:val="082E0105"/>
    <w:rsid w:val="08462E29"/>
    <w:rsid w:val="09063A89"/>
    <w:rsid w:val="09D54E14"/>
    <w:rsid w:val="0B536D2E"/>
    <w:rsid w:val="0E753EF5"/>
    <w:rsid w:val="1491260A"/>
    <w:rsid w:val="152627CF"/>
    <w:rsid w:val="15A32D0F"/>
    <w:rsid w:val="187C624F"/>
    <w:rsid w:val="1B8847D2"/>
    <w:rsid w:val="1C0C7680"/>
    <w:rsid w:val="1DB16262"/>
    <w:rsid w:val="216B7C05"/>
    <w:rsid w:val="273B08EE"/>
    <w:rsid w:val="29286B8A"/>
    <w:rsid w:val="2E6E4C8A"/>
    <w:rsid w:val="30274D2C"/>
    <w:rsid w:val="3083087B"/>
    <w:rsid w:val="30926B16"/>
    <w:rsid w:val="31537385"/>
    <w:rsid w:val="31832300"/>
    <w:rsid w:val="343A0036"/>
    <w:rsid w:val="34A75871"/>
    <w:rsid w:val="36301896"/>
    <w:rsid w:val="36E342CE"/>
    <w:rsid w:val="37993B54"/>
    <w:rsid w:val="3B4E14F1"/>
    <w:rsid w:val="3DA475B8"/>
    <w:rsid w:val="402C195C"/>
    <w:rsid w:val="40752FE6"/>
    <w:rsid w:val="40D73BA8"/>
    <w:rsid w:val="4335673E"/>
    <w:rsid w:val="434C41B3"/>
    <w:rsid w:val="44201BB0"/>
    <w:rsid w:val="487773F6"/>
    <w:rsid w:val="4BDE1641"/>
    <w:rsid w:val="4E5C73E5"/>
    <w:rsid w:val="4F0C0C9A"/>
    <w:rsid w:val="4F934F18"/>
    <w:rsid w:val="4F9B00EC"/>
    <w:rsid w:val="51E101BC"/>
    <w:rsid w:val="53E4044E"/>
    <w:rsid w:val="55185AD0"/>
    <w:rsid w:val="59611BE3"/>
    <w:rsid w:val="5FC303C9"/>
    <w:rsid w:val="622B2D11"/>
    <w:rsid w:val="6736296E"/>
    <w:rsid w:val="6B6928C1"/>
    <w:rsid w:val="6B8777B9"/>
    <w:rsid w:val="6D4C646B"/>
    <w:rsid w:val="71686BB4"/>
    <w:rsid w:val="74E26841"/>
    <w:rsid w:val="75390472"/>
    <w:rsid w:val="75BB6235"/>
    <w:rsid w:val="78B73A67"/>
    <w:rsid w:val="7C821E87"/>
    <w:rsid w:val="7DF07E6D"/>
    <w:rsid w:val="7E6F4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6"/>
    <w:qFormat/>
    <w:uiPriority w:val="99"/>
    <w:rPr>
      <w:sz w:val="18"/>
      <w:szCs w:val="18"/>
    </w:rPr>
  </w:style>
  <w:style w:type="character" w:customStyle="1" w:styleId="26">
    <w:name w:val="页脚 Char"/>
    <w:basedOn w:val="22"/>
    <w:link w:val="15"/>
    <w:qFormat/>
    <w:uiPriority w:val="99"/>
    <w:rPr>
      <w:sz w:val="18"/>
      <w:szCs w:val="18"/>
    </w:rPr>
  </w:style>
  <w:style w:type="character" w:customStyle="1" w:styleId="27">
    <w:name w:val="正文文本缩进 Char"/>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Char"/>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Char"/>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Char"/>
    <w:basedOn w:val="22"/>
    <w:link w:val="5"/>
    <w:qFormat/>
    <w:uiPriority w:val="9"/>
    <w:rPr>
      <w:rFonts w:ascii="Calibri" w:hAnsi="Calibri" w:eastAsia="仿宋" w:cs="Times New Roman"/>
      <w:b/>
      <w:bCs/>
      <w:kern w:val="44"/>
      <w:sz w:val="44"/>
      <w:szCs w:val="44"/>
    </w:rPr>
  </w:style>
  <w:style w:type="character" w:customStyle="1" w:styleId="34">
    <w:name w:val="正文文本 3 Char"/>
    <w:basedOn w:val="22"/>
    <w:link w:val="11"/>
    <w:semiHidden/>
    <w:qFormat/>
    <w:uiPriority w:val="99"/>
    <w:rPr>
      <w:rFonts w:ascii="Calibri" w:hAnsi="Calibri" w:eastAsia="仿宋" w:cs="Times New Roman"/>
      <w:sz w:val="16"/>
      <w:szCs w:val="16"/>
    </w:rPr>
  </w:style>
  <w:style w:type="character" w:customStyle="1" w:styleId="35">
    <w:name w:val="纯文本 Char1"/>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Char"/>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3">
    <w:name w:val="批注主题 Char"/>
    <w:basedOn w:val="40"/>
    <w:link w:val="20"/>
    <w:semiHidden/>
    <w:qFormat/>
    <w:uiPriority w:val="99"/>
    <w:rPr>
      <w:rFonts w:ascii="Calibri" w:hAnsi="Calibri" w:eastAsia="仿宋" w:cs="Times New Roman"/>
      <w:b/>
      <w:bCs/>
      <w:sz w:val="24"/>
      <w:szCs w:val="20"/>
    </w:rPr>
  </w:style>
  <w:style w:type="character" w:customStyle="1" w:styleId="44">
    <w:name w:val="批注框文本 Char"/>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31"/>
    <w:basedOn w:val="22"/>
    <w:qFormat/>
    <w:uiPriority w:val="0"/>
    <w:rPr>
      <w:rFonts w:hint="eastAsia" w:ascii="宋体" w:hAnsi="宋体" w:eastAsia="宋体" w:cs="宋体"/>
      <w:color w:val="000000"/>
      <w:sz w:val="22"/>
      <w:szCs w:val="22"/>
      <w:u w:val="none"/>
    </w:rPr>
  </w:style>
  <w:style w:type="character" w:customStyle="1" w:styleId="53">
    <w:name w:val="font41"/>
    <w:basedOn w:val="22"/>
    <w:qFormat/>
    <w:uiPriority w:val="0"/>
    <w:rPr>
      <w:rFonts w:hint="default" w:ascii="Times New Roman" w:hAnsi="Times New Roman" w:cs="Times New Roman"/>
      <w:color w:val="000000"/>
      <w:sz w:val="22"/>
      <w:szCs w:val="22"/>
      <w:u w:val="none"/>
    </w:rPr>
  </w:style>
  <w:style w:type="character" w:customStyle="1" w:styleId="54">
    <w:name w:val="font81"/>
    <w:basedOn w:val="22"/>
    <w:qFormat/>
    <w:uiPriority w:val="0"/>
    <w:rPr>
      <w:rFonts w:hint="eastAsia" w:ascii="宋体" w:hAnsi="宋体" w:eastAsia="宋体" w:cs="宋体"/>
      <w:color w:val="000000"/>
      <w:sz w:val="22"/>
      <w:szCs w:val="22"/>
      <w:u w:val="none"/>
    </w:rPr>
  </w:style>
  <w:style w:type="character" w:customStyle="1" w:styleId="55">
    <w:name w:val="font51"/>
    <w:basedOn w:val="22"/>
    <w:qFormat/>
    <w:uiPriority w:val="0"/>
    <w:rPr>
      <w:rFonts w:hint="default" w:ascii="Times New Roman" w:hAnsi="Times New Roman" w:cs="Times New Roman"/>
      <w:color w:val="000000"/>
      <w:sz w:val="22"/>
      <w:szCs w:val="22"/>
      <w:u w:val="none"/>
    </w:rPr>
  </w:style>
  <w:style w:type="character" w:customStyle="1" w:styleId="56">
    <w:name w:val="font121"/>
    <w:basedOn w:val="22"/>
    <w:qFormat/>
    <w:uiPriority w:val="0"/>
    <w:rPr>
      <w:rFonts w:ascii="Calibri" w:hAnsi="Calibri" w:cs="Calibri"/>
      <w:color w:val="000000"/>
      <w:sz w:val="22"/>
      <w:szCs w:val="22"/>
      <w:u w:val="none"/>
    </w:rPr>
  </w:style>
  <w:style w:type="character" w:customStyle="1" w:styleId="57">
    <w:name w:val="font131"/>
    <w:basedOn w:val="22"/>
    <w:qFormat/>
    <w:uiPriority w:val="0"/>
    <w:rPr>
      <w:rFonts w:hint="default" w:ascii="Calibri" w:hAnsi="Calibri" w:cs="Calibri"/>
      <w:color w:val="000000"/>
      <w:sz w:val="22"/>
      <w:szCs w:val="22"/>
      <w:u w:val="none"/>
    </w:rPr>
  </w:style>
  <w:style w:type="character" w:customStyle="1" w:styleId="58">
    <w:name w:val="font13"/>
    <w:basedOn w:val="22"/>
    <w:qFormat/>
    <w:uiPriority w:val="0"/>
    <w:rPr>
      <w:rFonts w:hint="default" w:ascii="Times New Roman" w:hAnsi="Times New Roman" w:cs="Times New Roman"/>
      <w:color w:val="000000"/>
      <w:sz w:val="22"/>
      <w:szCs w:val="22"/>
      <w:u w:val="none"/>
    </w:rPr>
  </w:style>
  <w:style w:type="character" w:customStyle="1" w:styleId="59">
    <w:name w:val="font151"/>
    <w:basedOn w:val="22"/>
    <w:qFormat/>
    <w:uiPriority w:val="0"/>
    <w:rPr>
      <w:rFonts w:hint="eastAsia" w:ascii="宋体" w:hAnsi="宋体" w:eastAsia="宋体" w:cs="宋体"/>
      <w:color w:val="000000"/>
      <w:sz w:val="24"/>
      <w:szCs w:val="24"/>
      <w:u w:val="none"/>
    </w:rPr>
  </w:style>
  <w:style w:type="character" w:customStyle="1" w:styleId="60">
    <w:name w:val="font111"/>
    <w:basedOn w:val="22"/>
    <w:qFormat/>
    <w:uiPriority w:val="0"/>
    <w:rPr>
      <w:rFonts w:hint="default" w:ascii="Times New Roman" w:hAnsi="Times New Roman" w:cs="Times New Roman"/>
      <w:color w:val="414141"/>
      <w:sz w:val="22"/>
      <w:szCs w:val="22"/>
      <w:u w:val="none"/>
    </w:rPr>
  </w:style>
  <w:style w:type="character" w:customStyle="1" w:styleId="61">
    <w:name w:val="font161"/>
    <w:basedOn w:val="22"/>
    <w:qFormat/>
    <w:uiPriority w:val="0"/>
    <w:rPr>
      <w:rFonts w:hint="eastAsia" w:ascii="宋体" w:hAnsi="宋体" w:eastAsia="宋体" w:cs="宋体"/>
      <w:color w:val="414141"/>
      <w:sz w:val="22"/>
      <w:szCs w:val="22"/>
      <w:u w:val="none"/>
    </w:rPr>
  </w:style>
  <w:style w:type="character" w:customStyle="1" w:styleId="62">
    <w:name w:val="font132"/>
    <w:basedOn w:val="22"/>
    <w:qFormat/>
    <w:uiPriority w:val="0"/>
    <w:rPr>
      <w:rFonts w:hint="default" w:ascii="Times New Roman" w:hAnsi="Times New Roman" w:cs="Times New Roman"/>
      <w:color w:val="333333"/>
      <w:sz w:val="22"/>
      <w:szCs w:val="22"/>
      <w:u w:val="none"/>
    </w:rPr>
  </w:style>
  <w:style w:type="character" w:customStyle="1" w:styleId="63">
    <w:name w:val="font171"/>
    <w:basedOn w:val="2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6DF44-A603-4DAE-B529-F82D3ECE1E05}">
  <ds:schemaRefs/>
</ds:datastoreItem>
</file>

<file path=docProps/app.xml><?xml version="1.0" encoding="utf-8"?>
<Properties xmlns="http://schemas.openxmlformats.org/officeDocument/2006/extended-properties" xmlns:vt="http://schemas.openxmlformats.org/officeDocument/2006/docPropsVTypes">
  <Template>Normal</Template>
  <Pages>36</Pages>
  <Words>12301</Words>
  <Characters>19447</Characters>
  <Lines>162</Lines>
  <Paragraphs>45</Paragraphs>
  <TotalTime>25</TotalTime>
  <ScaleCrop>false</ScaleCrop>
  <LinksUpToDate>false</LinksUpToDate>
  <CharactersWithSpaces>20859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2023-06-08T02:04:00Z</dcterms:created>
  <dc:creator>shaojing</dc:creator>
  <cp:lastModifiedBy>子非鱼</cp:lastModifiedBy>
  <cp:lastPrinted>2021-11-02T06:52:00Z</cp:lastPrinted>
  <dcterms:modified xsi:type="dcterms:W3CDTF">2023-06-26T08:19:06Z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B2D5755EFD304A569A41C99793962117_13</vt:lpwstr>
  </property>
</Properties>
</file>